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D1" w:rsidRPr="00126DD1" w:rsidRDefault="00126DD1" w:rsidP="00126D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DD1">
        <w:rPr>
          <w:rFonts w:ascii="Times New Roman" w:hAnsi="Times New Roman" w:cs="Times New Roman"/>
          <w:b/>
          <w:sz w:val="28"/>
          <w:szCs w:val="28"/>
          <w:lang w:val="uk-UA"/>
        </w:rPr>
        <w:t>Столична юстиція консультує: як домогтись виплати заборгованої заробітної плати після звільнення?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день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виплачені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пред'явлення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звільненим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. 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нараховані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ним орган повинен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виплатою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спору 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ним орган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усякому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повинен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виплатити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оспорювану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нею суму.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робити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дійшли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згоди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>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стягнути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нараховану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виплачену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плату: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•         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позасудовому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>•          в судовому порядку.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> </w:t>
      </w:r>
      <w:r w:rsidRPr="00126DD1">
        <w:rPr>
          <w:rFonts w:ascii="Times New Roman" w:hAnsi="Times New Roman" w:cs="Times New Roman"/>
          <w:bCs/>
          <w:sz w:val="28"/>
          <w:szCs w:val="28"/>
        </w:rPr>
        <w:t xml:space="preserve">Як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вирішити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спір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позасудовому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порядку?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(у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) без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профспілкової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врегулював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безпосередніх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переговорах 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ним органом.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з дня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заяви. Спори 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подав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ним органу.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спору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особа, в тому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адвокат.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оскаржити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>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незгоди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оскаржити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до суду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з дня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 протоколу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. Пропуск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строку не є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заяви.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Визнавши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причини пропуску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поважними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суд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поновити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і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пропущений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не буде поновлено,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lastRenderedPageBreak/>
        <w:t>Чи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довго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чекати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>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оскарження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ним органом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DD1">
        <w:rPr>
          <w:rFonts w:ascii="Times New Roman" w:hAnsi="Times New Roman" w:cs="Times New Roman"/>
          <w:sz w:val="28"/>
          <w:szCs w:val="28"/>
        </w:rPr>
        <w:t xml:space="preserve">строк 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proofErr w:type="gram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листа.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пред'явленого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тримісячного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строку до органу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приватному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виконавцю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приватний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спорах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примусовому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знати,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bCs/>
          <w:sz w:val="28"/>
          <w:szCs w:val="28"/>
        </w:rPr>
        <w:t>звернутися</w:t>
      </w:r>
      <w:proofErr w:type="spellEnd"/>
      <w:r w:rsidRPr="00126DD1">
        <w:rPr>
          <w:rFonts w:ascii="Times New Roman" w:hAnsi="Times New Roman" w:cs="Times New Roman"/>
          <w:bCs/>
          <w:sz w:val="28"/>
          <w:szCs w:val="28"/>
        </w:rPr>
        <w:t xml:space="preserve"> до суду?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до суду в порядку: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•          наказного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виплаченої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плати є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безспірною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);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6DD1">
        <w:rPr>
          <w:rFonts w:ascii="Times New Roman" w:hAnsi="Times New Roman" w:cs="Times New Roman"/>
          <w:sz w:val="28"/>
          <w:szCs w:val="28"/>
        </w:rPr>
        <w:t xml:space="preserve">•         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плати та/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).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наказ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бути видано 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заявлено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нарахованої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виплаченої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плати.</w:t>
      </w:r>
    </w:p>
    <w:p w:rsidR="00126DD1" w:rsidRPr="00126DD1" w:rsidRDefault="00126DD1" w:rsidP="00126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судового наказу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до суду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інстанції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>.</w:t>
      </w:r>
    </w:p>
    <w:p w:rsidR="00D124FF" w:rsidRDefault="00126DD1" w:rsidP="00126DD1">
      <w:pPr>
        <w:jc w:val="both"/>
      </w:pP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126DD1">
        <w:rPr>
          <w:rFonts w:ascii="Times New Roman" w:hAnsi="Times New Roman" w:cs="Times New Roman"/>
          <w:sz w:val="28"/>
          <w:szCs w:val="28"/>
        </w:rPr>
        <w:t xml:space="preserve">о суду без </w:t>
      </w:r>
      <w:proofErr w:type="spellStart"/>
      <w:r w:rsidRPr="00126DD1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126DD1">
        <w:rPr>
          <w:rFonts w:ascii="Times New Roman" w:hAnsi="Times New Roman" w:cs="Times New Roman"/>
          <w:sz w:val="28"/>
          <w:szCs w:val="28"/>
        </w:rPr>
        <w:t xml:space="preserve"> стро</w:t>
      </w:r>
      <w:r>
        <w:t>ку.</w:t>
      </w:r>
    </w:p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1"/>
    <w:rsid w:val="00126DD1"/>
    <w:rsid w:val="0045365A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6528-88D7-4299-9056-0B7E464D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2019-08-27T09:07:00Z</dcterms:created>
  <dcterms:modified xsi:type="dcterms:W3CDTF">2019-08-27T09:09:00Z</dcterms:modified>
</cp:coreProperties>
</file>