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32" w:rsidRDefault="00F11874" w:rsidP="00F7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74">
        <w:rPr>
          <w:rFonts w:ascii="Times New Roman" w:hAnsi="Times New Roman" w:cs="Times New Roman"/>
          <w:b/>
          <w:sz w:val="28"/>
          <w:szCs w:val="28"/>
        </w:rPr>
        <w:t>Стягнення виконавчого збору</w:t>
      </w:r>
    </w:p>
    <w:p w:rsidR="00B12AE3" w:rsidRPr="00F11874" w:rsidRDefault="00B12AE3" w:rsidP="00F7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54">
        <w:rPr>
          <w:rFonts w:ascii="Times New Roman" w:hAnsi="Times New Roman" w:cs="Times New Roman"/>
          <w:sz w:val="24"/>
          <w:szCs w:val="24"/>
        </w:rPr>
        <w:t>Стягнення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збору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здійснюється у порядку, визначеному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n300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статтею 27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Закону України «Про виконавче провадження».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n18"/>
      <w:bookmarkEnd w:id="0"/>
      <w:r w:rsidRPr="00F75254">
        <w:rPr>
          <w:rFonts w:ascii="Times New Roman" w:hAnsi="Times New Roman" w:cs="Times New Roman"/>
          <w:sz w:val="24"/>
          <w:szCs w:val="24"/>
        </w:rPr>
        <w:t>Про стягнення з боржника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збору та його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розмір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державний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виконавець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 xml:space="preserve">зазначає у постанові про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відкриття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n19"/>
      <w:bookmarkEnd w:id="1"/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збір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стягується з боржника на підставі постанови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збору, у якій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зазначаються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розмір та порядок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нарахованого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n20"/>
      <w:bookmarkEnd w:id="2"/>
      <w:r w:rsidRPr="00F75254">
        <w:rPr>
          <w:rFonts w:ascii="Times New Roman" w:hAnsi="Times New Roman" w:cs="Times New Roman"/>
          <w:color w:val="000000"/>
          <w:sz w:val="24"/>
          <w:szCs w:val="24"/>
        </w:rPr>
        <w:t>Постанову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державний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виконавець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виносить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одночасно з постановою про відкриття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 (крім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виконавчих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документів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аліментів) та не пізніше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наступного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робочого дня після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її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винесення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надсилає сторонам 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n21"/>
      <w:bookmarkEnd w:id="3"/>
      <w:r w:rsidRPr="00F75254">
        <w:rPr>
          <w:rFonts w:ascii="Times New Roman" w:hAnsi="Times New Roman" w:cs="Times New Roman"/>
          <w:color w:val="000000"/>
          <w:sz w:val="24"/>
          <w:szCs w:val="24"/>
        </w:rPr>
        <w:t>Якщо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рішення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було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виконано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боржником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частково до винесення постанови про відкриття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провадження, виконавчий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збір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стягується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із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суми, яку не було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сплачено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боржником до відкриття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n22"/>
      <w:bookmarkEnd w:id="4"/>
      <w:r w:rsidRPr="00F75254">
        <w:rPr>
          <w:rFonts w:ascii="Times New Roman" w:hAnsi="Times New Roman" w:cs="Times New Roman"/>
          <w:color w:val="000000"/>
          <w:sz w:val="24"/>
          <w:szCs w:val="24"/>
        </w:rPr>
        <w:t>За виконавчим документом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аліментів у разі, якщо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розмір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заборгованості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боржника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перевищує суму відповідних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платежів за дванадцять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місяців з дня пред’явлення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 документа до примусового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виконання, державний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виконавець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зобов’язаний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нарахувати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збір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із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суми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заборгованості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сплати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аліментів.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n23"/>
      <w:bookmarkEnd w:id="5"/>
      <w:r w:rsidRPr="00F75254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нарахування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обчислюється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державним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виконавцем в автоматизованій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системі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 та долучається до матеріалів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n24"/>
      <w:bookmarkEnd w:id="6"/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збір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нараховується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із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суми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заборгованості, визначеної у розрахунку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заборгованості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сплати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аліментів.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n25"/>
      <w:bookmarkEnd w:id="7"/>
      <w:r w:rsidRPr="00F75254">
        <w:rPr>
          <w:rFonts w:ascii="Times New Roman" w:hAnsi="Times New Roman" w:cs="Times New Roman"/>
          <w:color w:val="000000"/>
          <w:sz w:val="24"/>
          <w:szCs w:val="24"/>
        </w:rPr>
        <w:t>Надалі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разі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прострочення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боржником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щомісячного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аліментного платежу 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нарахування виконавчого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державним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виконавцем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щомісяця.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n26"/>
      <w:bookmarkEnd w:id="8"/>
      <w:r w:rsidRPr="00F75254">
        <w:rPr>
          <w:rFonts w:ascii="Times New Roman" w:hAnsi="Times New Roman" w:cs="Times New Roman"/>
          <w:color w:val="000000"/>
          <w:sz w:val="24"/>
          <w:szCs w:val="24"/>
        </w:rPr>
        <w:t>Не пізніше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наступного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робочого дня з дня погашення у повному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обсязі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заборгованості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сплати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аліментів, повернення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 документа стягувачу з підстав, передбачених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anchor="n372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пунктами 1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anchor="n375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4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частини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першої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статті 37 </w:t>
      </w:r>
      <w:r w:rsidRPr="00F75254">
        <w:rPr>
          <w:rFonts w:ascii="Times New Roman" w:hAnsi="Times New Roman" w:cs="Times New Roman"/>
          <w:sz w:val="24"/>
          <w:szCs w:val="24"/>
        </w:rPr>
        <w:t>Закону, закінчення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провадження з підстав, </w:t>
      </w:r>
      <w:r w:rsidRPr="00F75254">
        <w:rPr>
          <w:rFonts w:ascii="Times New Roman" w:hAnsi="Times New Roman" w:cs="Times New Roman"/>
          <w:sz w:val="24"/>
          <w:szCs w:val="24"/>
        </w:rPr>
        <w:t>передбачених </w:t>
      </w:r>
      <w:hyperlink r:id="rId10" w:anchor="n392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пунктами 1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anchor="n393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2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anchor="n398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7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anchor="n400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9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anchor="n405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14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частини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першої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статті 39 Закону, </w:t>
      </w:r>
      <w:r w:rsidRPr="00F75254">
        <w:rPr>
          <w:rFonts w:ascii="Times New Roman" w:hAnsi="Times New Roman" w:cs="Times New Roman"/>
          <w:sz w:val="24"/>
          <w:szCs w:val="24"/>
        </w:rPr>
        <w:t>державний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виконавець на підставі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розрахунку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нарахування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збору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виносить постанову про стяг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n27"/>
      <w:bookmarkEnd w:id="9"/>
      <w:r w:rsidRPr="00F752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Виконання постанови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здійснюється за рахунок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стягнутих з боржника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коштів за умови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відсутності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заборгованості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сплати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аліментів.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n28"/>
      <w:bookmarkEnd w:id="10"/>
      <w:r w:rsidRPr="00F75254">
        <w:rPr>
          <w:rFonts w:ascii="Times New Roman" w:hAnsi="Times New Roman" w:cs="Times New Roman"/>
          <w:sz w:val="24"/>
          <w:szCs w:val="24"/>
        </w:rPr>
        <w:t>У разі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повернення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 документа стягувачу з підстав, передбачених </w:t>
      </w:r>
      <w:hyperlink r:id="rId15" w:anchor="n372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пунктами 1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anchor="n374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3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anchor="n375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4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8" w:anchor="n377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6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частини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першої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статті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37 Закону, закінчення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провадження з підстав, передбачених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anchor="n392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пунктами 1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0" w:anchor="n393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2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anchor="n395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4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anchor="n397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6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3" w:anchor="n398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7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anchor="n400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9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(крім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випадку, передбаченого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anchor="n315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частиною</w:t>
        </w:r>
        <w:r w:rsidR="00F11874"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дев’ятою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статті 27 Закону),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n402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11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r:id="rId27" w:anchor="n405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14</w:t>
        </w:r>
      </w:hyperlink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="00F11874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8" w:anchor="n406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15</w:t>
        </w:r>
      </w:hyperlink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11874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F75254">
        <w:rPr>
          <w:rFonts w:ascii="Times New Roman" w:hAnsi="Times New Roman" w:cs="Times New Roman"/>
          <w:sz w:val="24"/>
          <w:szCs w:val="24"/>
        </w:rPr>
        <w:t>астини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першої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статті 39 Закону, якщо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виконавчий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збір не стягнуто, постанова про стягнення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збору не пізніше</w:t>
      </w:r>
      <w:r w:rsidR="00F11874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наступного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робочого дня з дня повернення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 документа (закінчення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провадження) реєструється в автоматизованій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системі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 як виконавчий документ та підлягає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виконанню в порядку, передбаченому Законом та цією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Інструкцією.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n29"/>
      <w:bookmarkEnd w:id="11"/>
      <w:r w:rsidRPr="00F75254">
        <w:rPr>
          <w:rFonts w:ascii="Times New Roman" w:hAnsi="Times New Roman" w:cs="Times New Roman"/>
          <w:color w:val="000000"/>
          <w:sz w:val="24"/>
          <w:szCs w:val="24"/>
        </w:rPr>
        <w:t>Державний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виконавець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зобов’язаний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відкрити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виконавче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 за постановою про стягнення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 не пізніше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наступного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робочого дня з дня її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реєстрації в автоматизованій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системі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F11874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провадження.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n30"/>
      <w:bookmarkEnd w:id="12"/>
      <w:r w:rsidRPr="00F75254">
        <w:rPr>
          <w:rFonts w:ascii="Times New Roman" w:hAnsi="Times New Roman" w:cs="Times New Roman"/>
          <w:color w:val="000000"/>
          <w:sz w:val="24"/>
          <w:szCs w:val="24"/>
        </w:rPr>
        <w:t>Про розмір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стягнутого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виконавчого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збору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державний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виконавець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color w:val="000000"/>
          <w:sz w:val="24"/>
          <w:szCs w:val="24"/>
        </w:rPr>
        <w:t>зазначає у виконавчому</w:t>
      </w:r>
      <w:r w:rsidR="00B12AE3" w:rsidRPr="00F7525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документі.</w:t>
      </w:r>
    </w:p>
    <w:p w:rsidR="0013652D" w:rsidRPr="00F75254" w:rsidRDefault="0013652D" w:rsidP="00F7525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n31"/>
      <w:bookmarkStart w:id="14" w:name="n32"/>
      <w:bookmarkEnd w:id="13"/>
      <w:bookmarkEnd w:id="14"/>
      <w:r w:rsidRPr="00F75254">
        <w:rPr>
          <w:rFonts w:ascii="Times New Roman" w:hAnsi="Times New Roman" w:cs="Times New Roman"/>
          <w:sz w:val="24"/>
          <w:szCs w:val="24"/>
        </w:rPr>
        <w:t>У випадку, передбаченому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абзацом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третім пункту 13 розділу ІХ цієї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Інструкції, приватний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виконавець не пізніше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наступного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робочого дня після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закінчення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провадження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або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повернення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виконавчого документа виносить постанову про передачу виконавчого документа відповідному органу державної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виконавчої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служби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із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врахуванням</w:t>
      </w:r>
      <w:r w:rsidR="00B12AE3" w:rsidRPr="00F75254">
        <w:rPr>
          <w:rFonts w:ascii="Times New Roman" w:hAnsi="Times New Roman" w:cs="Times New Roman"/>
          <w:sz w:val="24"/>
          <w:szCs w:val="24"/>
        </w:rPr>
        <w:t xml:space="preserve"> </w:t>
      </w:r>
      <w:r w:rsidRPr="00F75254">
        <w:rPr>
          <w:rFonts w:ascii="Times New Roman" w:hAnsi="Times New Roman" w:cs="Times New Roman"/>
          <w:sz w:val="24"/>
          <w:szCs w:val="24"/>
        </w:rPr>
        <w:t>вимог </w:t>
      </w:r>
      <w:hyperlink r:id="rId29" w:anchor="n261" w:tgtFrame="_blank" w:history="1">
        <w:r w:rsidRPr="00F752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статті 24</w:t>
        </w:r>
      </w:hyperlink>
      <w:r w:rsidR="00B12AE3" w:rsidRPr="00F7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AE3" w:rsidRPr="00F75254">
        <w:rPr>
          <w:rFonts w:ascii="Times New Roman" w:hAnsi="Times New Roman" w:cs="Times New Roman"/>
          <w:sz w:val="24"/>
          <w:szCs w:val="24"/>
        </w:rPr>
        <w:t>Закону.</w:t>
      </w:r>
    </w:p>
    <w:p w:rsidR="0013652D" w:rsidRPr="00F11874" w:rsidRDefault="0013652D" w:rsidP="00F11874">
      <w:pPr>
        <w:pStyle w:val="a9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2AE3" w:rsidRPr="00B12AE3" w:rsidRDefault="00B12AE3" w:rsidP="00F75254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E3">
        <w:rPr>
          <w:rFonts w:ascii="Times New Roman" w:hAnsi="Times New Roman" w:cs="Times New Roman"/>
          <w:b/>
          <w:sz w:val="24"/>
          <w:szCs w:val="24"/>
        </w:rPr>
        <w:t>Дарницьк</w:t>
      </w:r>
      <w:r w:rsidR="00F75254">
        <w:rPr>
          <w:rFonts w:ascii="Times New Roman" w:hAnsi="Times New Roman" w:cs="Times New Roman"/>
          <w:b/>
          <w:sz w:val="24"/>
          <w:szCs w:val="24"/>
        </w:rPr>
        <w:t>ий</w:t>
      </w:r>
      <w:r w:rsidRPr="00B12AE3">
        <w:rPr>
          <w:rFonts w:ascii="Times New Roman" w:hAnsi="Times New Roman" w:cs="Times New Roman"/>
          <w:b/>
          <w:sz w:val="24"/>
          <w:szCs w:val="24"/>
        </w:rPr>
        <w:t xml:space="preserve"> районн</w:t>
      </w:r>
      <w:r w:rsidR="00F75254">
        <w:rPr>
          <w:rFonts w:ascii="Times New Roman" w:hAnsi="Times New Roman" w:cs="Times New Roman"/>
          <w:b/>
          <w:sz w:val="24"/>
          <w:szCs w:val="24"/>
        </w:rPr>
        <w:t>ий</w:t>
      </w:r>
      <w:r w:rsidR="00F11874" w:rsidRPr="00B12AE3">
        <w:rPr>
          <w:rFonts w:ascii="Times New Roman" w:hAnsi="Times New Roman" w:cs="Times New Roman"/>
          <w:b/>
          <w:sz w:val="24"/>
          <w:szCs w:val="24"/>
        </w:rPr>
        <w:t xml:space="preserve"> відділ </w:t>
      </w:r>
    </w:p>
    <w:p w:rsidR="00B12AE3" w:rsidRPr="00B12AE3" w:rsidRDefault="00F11874" w:rsidP="00F75254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E3">
        <w:rPr>
          <w:rFonts w:ascii="Times New Roman" w:hAnsi="Times New Roman" w:cs="Times New Roman"/>
          <w:b/>
          <w:sz w:val="24"/>
          <w:szCs w:val="24"/>
        </w:rPr>
        <w:t>державн</w:t>
      </w:r>
      <w:r w:rsidR="00B12AE3" w:rsidRPr="00B12AE3">
        <w:rPr>
          <w:rFonts w:ascii="Times New Roman" w:hAnsi="Times New Roman" w:cs="Times New Roman"/>
          <w:b/>
          <w:sz w:val="24"/>
          <w:szCs w:val="24"/>
        </w:rPr>
        <w:t xml:space="preserve">ої виконавчої служби </w:t>
      </w:r>
    </w:p>
    <w:p w:rsidR="00F75254" w:rsidRDefault="00F11874" w:rsidP="00F75254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E3">
        <w:rPr>
          <w:rFonts w:ascii="Times New Roman" w:hAnsi="Times New Roman" w:cs="Times New Roman"/>
          <w:b/>
          <w:sz w:val="24"/>
          <w:szCs w:val="24"/>
        </w:rPr>
        <w:t xml:space="preserve">Головного територіального </w:t>
      </w:r>
    </w:p>
    <w:p w:rsidR="00B12AE3" w:rsidRPr="00B12AE3" w:rsidRDefault="00F11874" w:rsidP="00F75254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E3">
        <w:rPr>
          <w:rFonts w:ascii="Times New Roman" w:hAnsi="Times New Roman" w:cs="Times New Roman"/>
          <w:b/>
          <w:sz w:val="24"/>
          <w:szCs w:val="24"/>
        </w:rPr>
        <w:t>управління юстиції у місті Києві</w:t>
      </w:r>
      <w:bookmarkStart w:id="15" w:name="_GoBack"/>
      <w:bookmarkEnd w:id="15"/>
    </w:p>
    <w:sectPr w:rsidR="00B12AE3" w:rsidRPr="00B12AE3" w:rsidSect="00F7525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602"/>
    <w:multiLevelType w:val="hybridMultilevel"/>
    <w:tmpl w:val="866C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924"/>
    <w:multiLevelType w:val="hybridMultilevel"/>
    <w:tmpl w:val="8DD0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770D"/>
    <w:multiLevelType w:val="hybridMultilevel"/>
    <w:tmpl w:val="D1A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3134"/>
    <w:multiLevelType w:val="hybridMultilevel"/>
    <w:tmpl w:val="19425BD2"/>
    <w:lvl w:ilvl="0" w:tplc="9E8CEB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4759"/>
    <w:rsid w:val="00000A75"/>
    <w:rsid w:val="000205FF"/>
    <w:rsid w:val="000C7CB7"/>
    <w:rsid w:val="000F3829"/>
    <w:rsid w:val="00110829"/>
    <w:rsid w:val="0013652D"/>
    <w:rsid w:val="00152CE3"/>
    <w:rsid w:val="00194C07"/>
    <w:rsid w:val="001A2AAB"/>
    <w:rsid w:val="001C31E0"/>
    <w:rsid w:val="001E1EDF"/>
    <w:rsid w:val="002269EB"/>
    <w:rsid w:val="0026291C"/>
    <w:rsid w:val="00265763"/>
    <w:rsid w:val="002D5F93"/>
    <w:rsid w:val="003056C3"/>
    <w:rsid w:val="00313DED"/>
    <w:rsid w:val="0033517B"/>
    <w:rsid w:val="00350331"/>
    <w:rsid w:val="00355C76"/>
    <w:rsid w:val="00365F5B"/>
    <w:rsid w:val="003C2341"/>
    <w:rsid w:val="003E6EFF"/>
    <w:rsid w:val="00402485"/>
    <w:rsid w:val="00454E32"/>
    <w:rsid w:val="00457D4E"/>
    <w:rsid w:val="004D7487"/>
    <w:rsid w:val="004F7EB0"/>
    <w:rsid w:val="00542846"/>
    <w:rsid w:val="0057469A"/>
    <w:rsid w:val="00575B32"/>
    <w:rsid w:val="00581FBB"/>
    <w:rsid w:val="00583B30"/>
    <w:rsid w:val="00597C93"/>
    <w:rsid w:val="005C1395"/>
    <w:rsid w:val="00610C9A"/>
    <w:rsid w:val="00664954"/>
    <w:rsid w:val="00693EBC"/>
    <w:rsid w:val="006945AF"/>
    <w:rsid w:val="006B0BD7"/>
    <w:rsid w:val="006C2F9E"/>
    <w:rsid w:val="007124A0"/>
    <w:rsid w:val="007224CF"/>
    <w:rsid w:val="007607DB"/>
    <w:rsid w:val="007A0A99"/>
    <w:rsid w:val="007C4641"/>
    <w:rsid w:val="00807645"/>
    <w:rsid w:val="00893328"/>
    <w:rsid w:val="009040A0"/>
    <w:rsid w:val="009646F5"/>
    <w:rsid w:val="00970397"/>
    <w:rsid w:val="009C4A06"/>
    <w:rsid w:val="009C58D1"/>
    <w:rsid w:val="009F6D96"/>
    <w:rsid w:val="00A13FEE"/>
    <w:rsid w:val="00A77A64"/>
    <w:rsid w:val="00A956F3"/>
    <w:rsid w:val="00B12AE3"/>
    <w:rsid w:val="00B24759"/>
    <w:rsid w:val="00B252D9"/>
    <w:rsid w:val="00BC0B08"/>
    <w:rsid w:val="00BC4E26"/>
    <w:rsid w:val="00BD028E"/>
    <w:rsid w:val="00BE0219"/>
    <w:rsid w:val="00C450AC"/>
    <w:rsid w:val="00C47612"/>
    <w:rsid w:val="00C8266E"/>
    <w:rsid w:val="00D34463"/>
    <w:rsid w:val="00D51CD4"/>
    <w:rsid w:val="00D550A9"/>
    <w:rsid w:val="00D90145"/>
    <w:rsid w:val="00E613CF"/>
    <w:rsid w:val="00E90D63"/>
    <w:rsid w:val="00EF03B4"/>
    <w:rsid w:val="00F022F6"/>
    <w:rsid w:val="00F11874"/>
    <w:rsid w:val="00F34BF1"/>
    <w:rsid w:val="00F75254"/>
    <w:rsid w:val="00FC7A21"/>
    <w:rsid w:val="00FF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7"/>
  </w:style>
  <w:style w:type="paragraph" w:styleId="1">
    <w:name w:val="heading 1"/>
    <w:basedOn w:val="a"/>
    <w:next w:val="a"/>
    <w:link w:val="10"/>
    <w:uiPriority w:val="99"/>
    <w:qFormat/>
    <w:rsid w:val="007224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24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224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5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C58D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58D1"/>
    <w:rPr>
      <w:lang w:val="uk-UA"/>
    </w:rPr>
  </w:style>
  <w:style w:type="character" w:customStyle="1" w:styleId="10">
    <w:name w:val="Заголовок 1 Знак"/>
    <w:basedOn w:val="a0"/>
    <w:link w:val="1"/>
    <w:uiPriority w:val="99"/>
    <w:rsid w:val="007224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24C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224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C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13652D"/>
    <w:rPr>
      <w:color w:val="0000FF"/>
      <w:u w:val="single"/>
    </w:rPr>
  </w:style>
  <w:style w:type="paragraph" w:customStyle="1" w:styleId="rvps2">
    <w:name w:val="rvps2"/>
    <w:basedOn w:val="a"/>
    <w:rsid w:val="0013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F11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24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24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224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5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C58D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58D1"/>
    <w:rPr>
      <w:lang w:val="uk-UA"/>
    </w:rPr>
  </w:style>
  <w:style w:type="character" w:customStyle="1" w:styleId="10">
    <w:name w:val="Заголовок 1 Знак"/>
    <w:basedOn w:val="a0"/>
    <w:link w:val="1"/>
    <w:uiPriority w:val="99"/>
    <w:rsid w:val="007224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24C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224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C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13652D"/>
    <w:rPr>
      <w:color w:val="0000FF"/>
      <w:u w:val="single"/>
    </w:rPr>
  </w:style>
  <w:style w:type="paragraph" w:customStyle="1" w:styleId="rvps2">
    <w:name w:val="rvps2"/>
    <w:basedOn w:val="a"/>
    <w:rsid w:val="0013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404-19/paran372" TargetMode="External"/><Relationship Id="rId13" Type="http://schemas.openxmlformats.org/officeDocument/2006/relationships/hyperlink" Target="http://zakon5.rada.gov.ua/laws/show/1404-19/paran400" TargetMode="External"/><Relationship Id="rId18" Type="http://schemas.openxmlformats.org/officeDocument/2006/relationships/hyperlink" Target="http://zakon5.rada.gov.ua/laws/show/1404-19/paran377" TargetMode="External"/><Relationship Id="rId26" Type="http://schemas.openxmlformats.org/officeDocument/2006/relationships/hyperlink" Target="http://zakon5.rada.gov.ua/laws/show/1404-19/paran402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5.rada.gov.ua/laws/show/1404-19/paran395" TargetMode="External"/><Relationship Id="rId7" Type="http://schemas.openxmlformats.org/officeDocument/2006/relationships/hyperlink" Target="http://zakon5.rada.gov.ua/laws/show/1404-19/paran300" TargetMode="External"/><Relationship Id="rId12" Type="http://schemas.openxmlformats.org/officeDocument/2006/relationships/hyperlink" Target="http://zakon5.rada.gov.ua/laws/show/1404-19/paran398" TargetMode="External"/><Relationship Id="rId17" Type="http://schemas.openxmlformats.org/officeDocument/2006/relationships/hyperlink" Target="http://zakon5.rada.gov.ua/laws/show/1404-19/paran375" TargetMode="External"/><Relationship Id="rId25" Type="http://schemas.openxmlformats.org/officeDocument/2006/relationships/hyperlink" Target="http://zakon5.rada.gov.ua/laws/show/1404-19/paran3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/1404-19/paran374" TargetMode="External"/><Relationship Id="rId20" Type="http://schemas.openxmlformats.org/officeDocument/2006/relationships/hyperlink" Target="http://zakon5.rada.gov.ua/laws/show/1404-19/paran393" TargetMode="External"/><Relationship Id="rId29" Type="http://schemas.openxmlformats.org/officeDocument/2006/relationships/hyperlink" Target="http://zakon5.rada.gov.ua/laws/show/1404-19/paran2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1404-19/paran393" TargetMode="External"/><Relationship Id="rId24" Type="http://schemas.openxmlformats.org/officeDocument/2006/relationships/hyperlink" Target="http://zakon5.rada.gov.ua/laws/show/1404-19/paran4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5.rada.gov.ua/laws/show/1404-19/paran372" TargetMode="External"/><Relationship Id="rId23" Type="http://schemas.openxmlformats.org/officeDocument/2006/relationships/hyperlink" Target="http://zakon5.rada.gov.ua/laws/show/1404-19/paran398" TargetMode="External"/><Relationship Id="rId28" Type="http://schemas.openxmlformats.org/officeDocument/2006/relationships/hyperlink" Target="http://zakon5.rada.gov.ua/laws/show/1404-19/paran406" TargetMode="External"/><Relationship Id="rId10" Type="http://schemas.openxmlformats.org/officeDocument/2006/relationships/hyperlink" Target="http://zakon5.rada.gov.ua/laws/show/1404-19/paran392" TargetMode="External"/><Relationship Id="rId19" Type="http://schemas.openxmlformats.org/officeDocument/2006/relationships/hyperlink" Target="http://zakon5.rada.gov.ua/laws/show/1404-19/paran39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1404-19/paran375" TargetMode="External"/><Relationship Id="rId14" Type="http://schemas.openxmlformats.org/officeDocument/2006/relationships/hyperlink" Target="http://zakon5.rada.gov.ua/laws/show/1404-19/paran405" TargetMode="External"/><Relationship Id="rId22" Type="http://schemas.openxmlformats.org/officeDocument/2006/relationships/hyperlink" Target="http://zakon5.rada.gov.ua/laws/show/1404-19/paran397" TargetMode="External"/><Relationship Id="rId27" Type="http://schemas.openxmlformats.org/officeDocument/2006/relationships/hyperlink" Target="http://zakon5.rada.gov.ua/laws/show/1404-19/paran4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0666-7B2B-4D03-BA93-D07491F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test</cp:lastModifiedBy>
  <cp:revision>5</cp:revision>
  <cp:lastPrinted>2018-09-05T13:31:00Z</cp:lastPrinted>
  <dcterms:created xsi:type="dcterms:W3CDTF">2019-07-30T08:49:00Z</dcterms:created>
  <dcterms:modified xsi:type="dcterms:W3CDTF">2019-08-12T08:41:00Z</dcterms:modified>
</cp:coreProperties>
</file>