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5A" w:rsidRDefault="00E4045A" w:rsidP="00EA25C7">
      <w:pPr>
        <w:pStyle w:val="rvps2"/>
        <w:shd w:val="clear" w:color="auto" w:fill="FFFFFF"/>
        <w:spacing w:before="0" w:beforeAutospacing="0" w:after="0" w:afterAutospacing="0"/>
        <w:ind w:firstLine="450"/>
        <w:jc w:val="center"/>
        <w:rPr>
          <w:b/>
          <w:color w:val="000000"/>
          <w:sz w:val="28"/>
          <w:szCs w:val="28"/>
          <w:lang w:val="uk-UA"/>
        </w:rPr>
      </w:pPr>
      <w:r w:rsidRPr="00EA25C7">
        <w:rPr>
          <w:bCs/>
          <w:sz w:val="28"/>
          <w:szCs w:val="28"/>
          <w:lang w:val="uk-UA"/>
        </w:rPr>
        <w:br/>
      </w:r>
      <w:bookmarkStart w:id="0" w:name="_GoBack"/>
      <w:r w:rsidRPr="00EA25C7">
        <w:rPr>
          <w:b/>
          <w:color w:val="000000"/>
          <w:sz w:val="28"/>
          <w:szCs w:val="28"/>
          <w:lang w:val="uk-UA"/>
        </w:rPr>
        <w:t>Зупинення вчинення виконавчих дій у виконавчому проваджені</w:t>
      </w:r>
      <w:bookmarkEnd w:id="0"/>
      <w:r w:rsidRPr="00EA25C7">
        <w:rPr>
          <w:b/>
          <w:color w:val="000000"/>
          <w:sz w:val="28"/>
          <w:szCs w:val="28"/>
          <w:lang w:val="uk-UA"/>
        </w:rPr>
        <w:t>.</w:t>
      </w:r>
    </w:p>
    <w:p w:rsidR="00482089" w:rsidRPr="00EA25C7" w:rsidRDefault="00482089" w:rsidP="00EA25C7">
      <w:pPr>
        <w:pStyle w:val="rvps2"/>
        <w:shd w:val="clear" w:color="auto" w:fill="FFFFFF"/>
        <w:spacing w:before="0" w:beforeAutospacing="0" w:after="0" w:afterAutospacing="0"/>
        <w:ind w:firstLine="450"/>
        <w:jc w:val="center"/>
        <w:rPr>
          <w:b/>
          <w:color w:val="000000"/>
          <w:sz w:val="28"/>
          <w:szCs w:val="28"/>
          <w:lang w:val="uk-UA"/>
        </w:rPr>
      </w:pPr>
    </w:p>
    <w:p w:rsidR="00E4045A" w:rsidRDefault="00E4045A" w:rsidP="00EA25C7">
      <w:pPr>
        <w:pStyle w:val="rvps2"/>
        <w:shd w:val="clear" w:color="auto" w:fill="FFFFFF"/>
        <w:spacing w:before="0" w:beforeAutospacing="0" w:after="0" w:afterAutospacing="0"/>
        <w:ind w:firstLine="450"/>
        <w:jc w:val="both"/>
        <w:rPr>
          <w:i/>
          <w:color w:val="000000"/>
          <w:sz w:val="28"/>
          <w:szCs w:val="28"/>
          <w:lang w:val="uk-UA"/>
        </w:rPr>
      </w:pPr>
      <w:bookmarkStart w:id="1" w:name="n345"/>
      <w:bookmarkEnd w:id="1"/>
      <w:r w:rsidRPr="00EA25C7">
        <w:rPr>
          <w:i/>
          <w:color w:val="000000"/>
          <w:sz w:val="28"/>
          <w:szCs w:val="28"/>
          <w:lang w:val="uk-UA"/>
        </w:rPr>
        <w:t>1. Виконавець зупиняє вчинення виконавчих дій у разі:</w:t>
      </w:r>
    </w:p>
    <w:p w:rsidR="00EA25C7" w:rsidRPr="00EA25C7" w:rsidRDefault="00EA25C7" w:rsidP="00EA25C7">
      <w:pPr>
        <w:pStyle w:val="rvps2"/>
        <w:shd w:val="clear" w:color="auto" w:fill="FFFFFF"/>
        <w:spacing w:before="0" w:beforeAutospacing="0" w:after="0" w:afterAutospacing="0"/>
        <w:ind w:firstLine="450"/>
        <w:jc w:val="both"/>
        <w:rPr>
          <w:i/>
          <w:color w:val="000000"/>
          <w:sz w:val="28"/>
          <w:szCs w:val="28"/>
          <w:lang w:val="uk-UA"/>
        </w:rPr>
      </w:pPr>
    </w:p>
    <w:p w:rsidR="00E4045A" w:rsidRPr="00EA25C7" w:rsidRDefault="00E4045A" w:rsidP="00EA25C7">
      <w:pPr>
        <w:pStyle w:val="rvps2"/>
        <w:shd w:val="clear" w:color="auto" w:fill="FFFFFF"/>
        <w:spacing w:before="0" w:beforeAutospacing="0" w:after="0" w:afterAutospacing="0"/>
        <w:ind w:firstLine="450"/>
        <w:jc w:val="both"/>
        <w:rPr>
          <w:color w:val="000000"/>
          <w:sz w:val="28"/>
          <w:szCs w:val="28"/>
          <w:lang w:val="uk-UA"/>
        </w:rPr>
      </w:pPr>
      <w:bookmarkStart w:id="2" w:name="n346"/>
      <w:bookmarkEnd w:id="2"/>
      <w:r w:rsidRPr="00EA25C7">
        <w:rPr>
          <w:color w:val="000000"/>
          <w:sz w:val="28"/>
          <w:szCs w:val="28"/>
          <w:lang w:val="uk-UA"/>
        </w:rPr>
        <w:t>1) проходження боржником строкової військової служби, військової служби за призовом осіб офіцерського складу, військової служби за призовом під час мобілізації, на особливий період, або якщо боржник проходить військову службу та виконує бойові завдання військової служби у бойовій обстановці чи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якщо згідно з умовами служби проведення виконавчих дій неможливе чи на прохання стягувача, який проходить таку військову службу;</w:t>
      </w:r>
      <w:bookmarkStart w:id="3" w:name="n1116"/>
      <w:bookmarkStart w:id="4" w:name="n347"/>
      <w:bookmarkEnd w:id="3"/>
      <w:bookmarkEnd w:id="4"/>
    </w:p>
    <w:p w:rsidR="00E4045A" w:rsidRPr="00EA25C7" w:rsidRDefault="00E4045A" w:rsidP="00EA25C7">
      <w:pPr>
        <w:pStyle w:val="rvps2"/>
        <w:shd w:val="clear" w:color="auto" w:fill="FFFFFF"/>
        <w:spacing w:before="0" w:beforeAutospacing="0" w:after="0" w:afterAutospacing="0"/>
        <w:ind w:firstLine="450"/>
        <w:jc w:val="both"/>
        <w:rPr>
          <w:color w:val="000000"/>
          <w:sz w:val="28"/>
          <w:szCs w:val="28"/>
          <w:lang w:val="uk-UA"/>
        </w:rPr>
      </w:pPr>
      <w:r w:rsidRPr="00EA25C7">
        <w:rPr>
          <w:color w:val="000000"/>
          <w:sz w:val="28"/>
          <w:szCs w:val="28"/>
          <w:lang w:val="uk-UA"/>
        </w:rPr>
        <w:t>2) зупинення судом стягнення на підставі виконавчого документа;</w:t>
      </w:r>
    </w:p>
    <w:p w:rsidR="00E4045A" w:rsidRPr="00EA25C7" w:rsidRDefault="00E4045A" w:rsidP="00EA25C7">
      <w:pPr>
        <w:pStyle w:val="rvps2"/>
        <w:shd w:val="clear" w:color="auto" w:fill="FFFFFF"/>
        <w:spacing w:before="0" w:beforeAutospacing="0" w:after="0" w:afterAutospacing="0"/>
        <w:ind w:firstLine="450"/>
        <w:jc w:val="both"/>
        <w:rPr>
          <w:color w:val="000000"/>
          <w:sz w:val="28"/>
          <w:szCs w:val="28"/>
          <w:lang w:val="uk-UA"/>
        </w:rPr>
      </w:pPr>
      <w:bookmarkStart w:id="5" w:name="n348"/>
      <w:bookmarkEnd w:id="5"/>
      <w:r w:rsidRPr="00EA25C7">
        <w:rPr>
          <w:color w:val="000000"/>
          <w:sz w:val="28"/>
          <w:szCs w:val="28"/>
          <w:lang w:val="uk-UA"/>
        </w:rPr>
        <w:t>3) зупинення судом реалізації арештованого майна у разі відсутності іншого майна боржника, на яке може бути звернено стягнення;</w:t>
      </w:r>
    </w:p>
    <w:p w:rsidR="00E4045A" w:rsidRPr="00EA25C7" w:rsidRDefault="00E4045A" w:rsidP="00EA25C7">
      <w:pPr>
        <w:pStyle w:val="rvps2"/>
        <w:shd w:val="clear" w:color="auto" w:fill="FFFFFF"/>
        <w:spacing w:before="0" w:beforeAutospacing="0" w:after="0" w:afterAutospacing="0"/>
        <w:ind w:firstLine="450"/>
        <w:jc w:val="both"/>
        <w:rPr>
          <w:color w:val="000000"/>
          <w:sz w:val="28"/>
          <w:szCs w:val="28"/>
          <w:lang w:val="uk-UA"/>
        </w:rPr>
      </w:pPr>
      <w:bookmarkStart w:id="6" w:name="n349"/>
      <w:bookmarkEnd w:id="6"/>
      <w:r w:rsidRPr="00EA25C7">
        <w:rPr>
          <w:color w:val="000000"/>
          <w:sz w:val="28"/>
          <w:szCs w:val="28"/>
          <w:lang w:val="uk-UA"/>
        </w:rPr>
        <w:t>4) порушення господарським судом провадження у справі про банкрутство боржника, якщо відповідно до закону на вимогу стягувача поширюється дія мораторію, запровадженого господарським судом. Виконавець не зупиняє вчинення виконавчих дій за рішеннями про виплату заробітної плати, аліментів, відшкодування шкоди, завданої каліцтвом, іншим ушкодженням здоров’я або смертю особи, авторської винагороди, повернення невикористаних та своєчасно неповернутих коштів загальнообов’язкового державного соціального страхування у зв’язку з тимчасовою втратою працездатності, рішеннями немайнового характеру, у разі перебування виконавчого провадження на стадії розподілу стягнутих з боржника грошових сум (у тому числі одержаних від реалізації майна боржника);</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7" w:name="n350"/>
      <w:bookmarkEnd w:id="7"/>
      <w:r w:rsidRPr="00EA25C7">
        <w:rPr>
          <w:color w:val="000000"/>
          <w:sz w:val="28"/>
          <w:szCs w:val="28"/>
          <w:lang w:val="uk-UA"/>
        </w:rPr>
        <w:t>5) звернення виконавця та/або заінтересованої особи до суду із заявою про заміну вибулої сторони правонаступником у порядку, встановленому </w:t>
      </w:r>
      <w:hyperlink r:id="rId4" w:anchor="n166" w:history="1">
        <w:r w:rsidRPr="00EA25C7">
          <w:rPr>
            <w:rStyle w:val="a3"/>
            <w:color w:val="auto"/>
            <w:sz w:val="28"/>
            <w:szCs w:val="28"/>
            <w:u w:val="none"/>
            <w:lang w:val="uk-UA"/>
          </w:rPr>
          <w:t>частиною п’ятою</w:t>
        </w:r>
      </w:hyperlink>
      <w:r w:rsidRPr="00EA25C7">
        <w:rPr>
          <w:sz w:val="28"/>
          <w:szCs w:val="28"/>
          <w:lang w:val="uk-UA"/>
        </w:rPr>
        <w:t> статті 15</w:t>
      </w:r>
      <w:r w:rsidRPr="00EA25C7">
        <w:rPr>
          <w:sz w:val="28"/>
          <w:szCs w:val="28"/>
          <w:u w:val="single"/>
          <w:lang w:val="uk-UA"/>
        </w:rPr>
        <w:t xml:space="preserve"> </w:t>
      </w:r>
      <w:r w:rsidRPr="00EA25C7">
        <w:rPr>
          <w:sz w:val="28"/>
          <w:szCs w:val="28"/>
          <w:lang w:val="uk-UA"/>
        </w:rPr>
        <w:t>цього Закону України «Про виконавче провадження», а саме  у разі вибуття однієї із сторін виконавець за заявою сторони, а також заінтересована особа мають право звернутися до суду із заявою про заміну сторони її правонаступником. Для правонаступника усі дії, вчинені до його вступу у виконавче провадження, є обов’язковими тією мірою, якою вони були б обов’язковими для сторони, яку правонаступник замінив.</w:t>
      </w:r>
      <w:bookmarkStart w:id="8" w:name="n167"/>
      <w:bookmarkEnd w:id="8"/>
      <w:r w:rsidRPr="00EA25C7">
        <w:rPr>
          <w:sz w:val="28"/>
          <w:szCs w:val="28"/>
          <w:lang w:val="uk-UA"/>
        </w:rPr>
        <w:t xml:space="preserve"> У разі якщо сторона виконавчого провадження змінила найменування (для юридичної особи) або прізвище, ім’я чи по батькові (для фізичної особи), виконавець, за наявності підтверджуючих документів, змінює своєю постановою назву сторони виконавчого провадження</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9" w:name="n351"/>
      <w:bookmarkEnd w:id="9"/>
      <w:r w:rsidRPr="00EA25C7">
        <w:rPr>
          <w:sz w:val="28"/>
          <w:szCs w:val="28"/>
          <w:lang w:val="uk-UA"/>
        </w:rPr>
        <w:t>6) надання судом, який видав виконавчий документ, відстрочки виконання рішення;</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0" w:name="n352"/>
      <w:bookmarkEnd w:id="10"/>
      <w:r w:rsidRPr="00EA25C7">
        <w:rPr>
          <w:sz w:val="28"/>
          <w:szCs w:val="28"/>
          <w:lang w:val="uk-UA"/>
        </w:rPr>
        <w:t>7) включення підприємства паливно-енергетичного комплексу до Реєстру підприємств паливно-енергетичного комплексу, які беруть участь у процедурі погашення заборгованості, яка виникла внаслідок розрахунків за енергоносії з урахуванням дати заборгованості відповідно до Закону України "Про заходи, спрямовані на забезпечення сталого функціонування підприємств паливно-</w:t>
      </w:r>
      <w:r w:rsidRPr="00EA25C7">
        <w:rPr>
          <w:sz w:val="28"/>
          <w:szCs w:val="28"/>
          <w:lang w:val="uk-UA"/>
        </w:rPr>
        <w:lastRenderedPageBreak/>
        <w:t>енергетичного комплексу", крім рішень, передбачених </w:t>
      </w:r>
      <w:hyperlink r:id="rId5" w:tgtFrame="_blank" w:history="1">
        <w:r w:rsidRPr="00EA25C7">
          <w:rPr>
            <w:rStyle w:val="a3"/>
            <w:color w:val="auto"/>
            <w:sz w:val="28"/>
            <w:szCs w:val="28"/>
            <w:u w:val="none"/>
            <w:lang w:val="uk-UA"/>
          </w:rPr>
          <w:t>абзацом шостим</w:t>
        </w:r>
      </w:hyperlink>
      <w:r w:rsidRPr="00EA25C7">
        <w:rPr>
          <w:sz w:val="28"/>
          <w:szCs w:val="28"/>
          <w:lang w:val="uk-UA"/>
        </w:rPr>
        <w:t> пункту 3.7 статті 3 зазначеного Закону;</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1" w:name="n353"/>
      <w:bookmarkEnd w:id="11"/>
      <w:r w:rsidRPr="00EA25C7">
        <w:rPr>
          <w:sz w:val="28"/>
          <w:szCs w:val="28"/>
          <w:lang w:val="uk-UA"/>
        </w:rPr>
        <w:t>8) затвердження плану санації боржника до порушення провадження у справі про банкрутство;</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2" w:name="n354"/>
      <w:bookmarkEnd w:id="12"/>
      <w:r w:rsidRPr="00EA25C7">
        <w:rPr>
          <w:sz w:val="28"/>
          <w:szCs w:val="28"/>
          <w:lang w:val="uk-UA"/>
        </w:rPr>
        <w:t>9) надіслання виконавчого документа до центрального органу виконавчої влади, що реалізує державну політику у сфері казначейського обслуговування бюджетних коштів, у випадку, передбаченому </w:t>
      </w:r>
      <w:hyperlink r:id="rId6" w:anchor="n26" w:tgtFrame="_blank" w:history="1">
        <w:r w:rsidRPr="00EA25C7">
          <w:rPr>
            <w:rStyle w:val="a3"/>
            <w:color w:val="auto"/>
            <w:sz w:val="28"/>
            <w:szCs w:val="28"/>
            <w:u w:val="none"/>
            <w:lang w:val="uk-UA"/>
          </w:rPr>
          <w:t>частиною третьою</w:t>
        </w:r>
      </w:hyperlink>
      <w:r w:rsidRPr="00EA25C7">
        <w:rPr>
          <w:sz w:val="28"/>
          <w:szCs w:val="28"/>
          <w:lang w:val="uk-UA"/>
        </w:rPr>
        <w:t> статті 4 Закону України "Про гарантії держави щодо виконання судових рішень";</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3" w:name="n1016"/>
      <w:bookmarkEnd w:id="13"/>
      <w:r w:rsidRPr="00EA25C7">
        <w:rPr>
          <w:sz w:val="28"/>
          <w:szCs w:val="28"/>
          <w:lang w:val="uk-UA"/>
        </w:rPr>
        <w:t xml:space="preserve">10) включення підприємств, що виробляють, транспортують та постачають теплову енергію, надають послуги з централізованого опалення та постачання гарячої води, підприємств централізованого водопостачання та водовідведення, що надають послуги з централізованого водопостачання та водовідведення, послуги з постачання холодної води та послуги з водовідведення (з використанням </w:t>
      </w:r>
      <w:proofErr w:type="spellStart"/>
      <w:r w:rsidRPr="00EA25C7">
        <w:rPr>
          <w:sz w:val="28"/>
          <w:szCs w:val="28"/>
          <w:lang w:val="uk-UA"/>
        </w:rPr>
        <w:t>внутрішньобудинкових</w:t>
      </w:r>
      <w:proofErr w:type="spellEnd"/>
      <w:r w:rsidRPr="00EA25C7">
        <w:rPr>
          <w:sz w:val="28"/>
          <w:szCs w:val="28"/>
          <w:lang w:val="uk-UA"/>
        </w:rPr>
        <w:t xml:space="preserve"> систем), до реєстру підприємств, що беруть участь у процедурі врегулювання заборгованості відповідно до </w:t>
      </w:r>
      <w:hyperlink r:id="rId7" w:tgtFrame="_blank" w:history="1">
        <w:r w:rsidRPr="00EA25C7">
          <w:rPr>
            <w:rStyle w:val="a3"/>
            <w:color w:val="auto"/>
            <w:sz w:val="28"/>
            <w:szCs w:val="28"/>
            <w:u w:val="none"/>
            <w:lang w:val="uk-UA"/>
          </w:rPr>
          <w:t>Закону України</w:t>
        </w:r>
      </w:hyperlink>
      <w:r w:rsidR="00A35338">
        <w:rPr>
          <w:sz w:val="28"/>
          <w:szCs w:val="28"/>
          <w:lang w:val="uk-UA"/>
        </w:rPr>
        <w:t> «</w:t>
      </w:r>
      <w:r w:rsidRPr="00EA25C7">
        <w:rPr>
          <w:sz w:val="28"/>
          <w:szCs w:val="28"/>
          <w:lang w:val="uk-UA"/>
        </w:rPr>
        <w:t xml:space="preserve">Про заходи, спрямовані на врегулювання заборгованості теплопостачальних та </w:t>
      </w:r>
      <w:proofErr w:type="spellStart"/>
      <w:r w:rsidRPr="00EA25C7">
        <w:rPr>
          <w:sz w:val="28"/>
          <w:szCs w:val="28"/>
          <w:lang w:val="uk-UA"/>
        </w:rPr>
        <w:t>теплогенеруючих</w:t>
      </w:r>
      <w:proofErr w:type="spellEnd"/>
      <w:r w:rsidRPr="00EA25C7">
        <w:rPr>
          <w:sz w:val="28"/>
          <w:szCs w:val="28"/>
          <w:lang w:val="uk-UA"/>
        </w:rPr>
        <w:t xml:space="preserve"> організацій та підприємств централізованого водопостачання і водовідведення за спожиті енергоносії</w:t>
      </w:r>
      <w:r w:rsidR="00A35338">
        <w:rPr>
          <w:sz w:val="28"/>
          <w:szCs w:val="28"/>
          <w:lang w:val="uk-UA"/>
        </w:rPr>
        <w:t>»</w:t>
      </w:r>
      <w:r w:rsidRPr="00EA25C7">
        <w:rPr>
          <w:sz w:val="28"/>
          <w:szCs w:val="28"/>
          <w:lang w:val="uk-UA"/>
        </w:rPr>
        <w:t>, з виконавчих проваджень, стягувачами за якими є Н</w:t>
      </w:r>
      <w:r w:rsidR="00EA25C7">
        <w:rPr>
          <w:sz w:val="28"/>
          <w:szCs w:val="28"/>
          <w:lang w:val="uk-UA"/>
        </w:rPr>
        <w:t>аціональна акціонерна компанія «Нафтогаз України», її дочірня компанія «Газ України»</w:t>
      </w:r>
      <w:r w:rsidRPr="00EA25C7">
        <w:rPr>
          <w:sz w:val="28"/>
          <w:szCs w:val="28"/>
          <w:lang w:val="uk-UA"/>
        </w:rPr>
        <w:t>, Пу</w:t>
      </w:r>
      <w:r w:rsidR="00EA25C7">
        <w:rPr>
          <w:sz w:val="28"/>
          <w:szCs w:val="28"/>
          <w:lang w:val="uk-UA"/>
        </w:rPr>
        <w:t>блічне акціонерне товариство «Укртрансгаз»</w:t>
      </w:r>
      <w:r w:rsidRPr="00EA25C7">
        <w:rPr>
          <w:sz w:val="28"/>
          <w:szCs w:val="28"/>
          <w:lang w:val="uk-UA"/>
        </w:rPr>
        <w:t xml:space="preserve">, постачальники електричної енергії, а боржниками - підприємства, що виробляють теплову енергію, транспортують та постачають теплову енергію, надають послуги з централізованого опалення та постачання гарячої води, та підприємства централізованого водопостачання та водовідведення, що надають послуги з централізованого водопостачання та водовідведення, послуги з постачання холодної води та послуги з водовідведення (з використанням </w:t>
      </w:r>
      <w:proofErr w:type="spellStart"/>
      <w:r w:rsidRPr="00EA25C7">
        <w:rPr>
          <w:sz w:val="28"/>
          <w:szCs w:val="28"/>
          <w:lang w:val="uk-UA"/>
        </w:rPr>
        <w:t>внутрішньобудинкових</w:t>
      </w:r>
      <w:proofErr w:type="spellEnd"/>
      <w:r w:rsidRPr="00EA25C7">
        <w:rPr>
          <w:sz w:val="28"/>
          <w:szCs w:val="28"/>
          <w:lang w:val="uk-UA"/>
        </w:rPr>
        <w:t xml:space="preserve"> систем);</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4" w:name="n1015"/>
      <w:bookmarkEnd w:id="14"/>
      <w:r w:rsidRPr="00EA25C7">
        <w:rPr>
          <w:sz w:val="28"/>
          <w:szCs w:val="28"/>
          <w:lang w:val="uk-UA"/>
        </w:rPr>
        <w:t>мораторію на звернення стягнення на активи боржника за зобов’язаннями підприємств залізничного транспорту, майно яких розміщене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якій органи державної влади тимчасово не здійснюють свої повноваження;</w:t>
      </w:r>
      <w:bookmarkStart w:id="15" w:name="n1052"/>
      <w:bookmarkStart w:id="16" w:name="n1105"/>
      <w:bookmarkEnd w:id="15"/>
      <w:bookmarkEnd w:id="16"/>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r w:rsidRPr="00EA25C7">
        <w:rPr>
          <w:sz w:val="28"/>
          <w:szCs w:val="28"/>
          <w:lang w:val="uk-UA"/>
        </w:rPr>
        <w:t xml:space="preserve"> 12) включення державних підприємств або пакетів акцій (часток) господарських товариств до переліку об’єктів малої або великої приватизації, що підлягають приватизації;</w:t>
      </w:r>
      <w:bookmarkStart w:id="17" w:name="n1104"/>
      <w:bookmarkEnd w:id="17"/>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8" w:name="n1110"/>
      <w:bookmarkEnd w:id="18"/>
      <w:r w:rsidRPr="00EA25C7">
        <w:rPr>
          <w:sz w:val="28"/>
          <w:szCs w:val="28"/>
          <w:lang w:val="uk-UA"/>
        </w:rPr>
        <w:t>13) наявності підстав, передбачених </w:t>
      </w:r>
      <w:hyperlink r:id="rId8" w:anchor="n81" w:tgtFrame="_blank" w:history="1">
        <w:r w:rsidRPr="00EA25C7">
          <w:rPr>
            <w:rStyle w:val="a3"/>
            <w:color w:val="auto"/>
            <w:sz w:val="28"/>
            <w:szCs w:val="28"/>
            <w:u w:val="none"/>
            <w:lang w:val="uk-UA"/>
          </w:rPr>
          <w:t>статтею 2</w:t>
        </w:r>
      </w:hyperlink>
      <w:hyperlink r:id="rId9" w:anchor="n81" w:tgtFrame="_blank" w:history="1">
        <w:r w:rsidRPr="00EA25C7">
          <w:rPr>
            <w:rStyle w:val="a3"/>
            <w:b/>
            <w:bCs/>
            <w:color w:val="auto"/>
            <w:sz w:val="28"/>
            <w:szCs w:val="28"/>
            <w:u w:val="none"/>
            <w:vertAlign w:val="superscript"/>
            <w:lang w:val="uk-UA"/>
          </w:rPr>
          <w:t>-1</w:t>
        </w:r>
      </w:hyperlink>
      <w:r w:rsidR="00EA25C7">
        <w:rPr>
          <w:sz w:val="28"/>
          <w:szCs w:val="28"/>
          <w:lang w:val="uk-UA"/>
        </w:rPr>
        <w:t> Закону України «</w:t>
      </w:r>
      <w:r w:rsidRPr="00EA25C7">
        <w:rPr>
          <w:sz w:val="28"/>
          <w:szCs w:val="28"/>
          <w:lang w:val="uk-UA"/>
        </w:rPr>
        <w:t>Про деякі питання заборгованості підприємств оборонно-промислового комплексу -</w:t>
      </w:r>
      <w:r w:rsidR="00EA25C7">
        <w:rPr>
          <w:sz w:val="28"/>
          <w:szCs w:val="28"/>
          <w:lang w:val="uk-UA"/>
        </w:rPr>
        <w:t xml:space="preserve"> учасників Державного концерну «</w:t>
      </w:r>
      <w:proofErr w:type="spellStart"/>
      <w:r w:rsidR="00EA25C7">
        <w:rPr>
          <w:sz w:val="28"/>
          <w:szCs w:val="28"/>
          <w:lang w:val="uk-UA"/>
        </w:rPr>
        <w:t>Укроборонпром</w:t>
      </w:r>
      <w:proofErr w:type="spellEnd"/>
      <w:r w:rsidR="00EA25C7">
        <w:rPr>
          <w:sz w:val="28"/>
          <w:szCs w:val="28"/>
          <w:lang w:val="uk-UA"/>
        </w:rPr>
        <w:t>»</w:t>
      </w:r>
      <w:r w:rsidRPr="00EA25C7">
        <w:rPr>
          <w:sz w:val="28"/>
          <w:szCs w:val="28"/>
          <w:lang w:val="uk-UA"/>
        </w:rPr>
        <w:t xml:space="preserve"> та забезпечення їх стабільного розвитку";</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19" w:name="n1111"/>
      <w:bookmarkStart w:id="20" w:name="n1256"/>
      <w:bookmarkEnd w:id="19"/>
      <w:bookmarkEnd w:id="20"/>
      <w:r w:rsidRPr="00EA25C7">
        <w:rPr>
          <w:sz w:val="28"/>
          <w:szCs w:val="28"/>
          <w:lang w:val="uk-UA"/>
        </w:rPr>
        <w:t>14) наявності підстав, передбачених </w:t>
      </w:r>
      <w:hyperlink r:id="rId10" w:anchor="n4" w:tgtFrame="_blank" w:history="1">
        <w:r w:rsidRPr="00EA25C7">
          <w:rPr>
            <w:rStyle w:val="a3"/>
            <w:color w:val="auto"/>
            <w:sz w:val="28"/>
            <w:szCs w:val="28"/>
            <w:u w:val="none"/>
            <w:lang w:val="uk-UA"/>
          </w:rPr>
          <w:t>статтею 1</w:t>
        </w:r>
      </w:hyperlink>
      <w:r w:rsidRPr="00EA25C7">
        <w:rPr>
          <w:sz w:val="28"/>
          <w:szCs w:val="28"/>
          <w:lang w:val="uk-UA"/>
        </w:rPr>
        <w:t> Закону України "Про відновлення платоспроможності державних вугледобувних підприємств".</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21" w:name="n1255"/>
      <w:bookmarkStart w:id="22" w:name="n355"/>
      <w:bookmarkEnd w:id="21"/>
      <w:bookmarkEnd w:id="22"/>
      <w:r w:rsidRPr="00EA25C7">
        <w:rPr>
          <w:sz w:val="28"/>
          <w:szCs w:val="28"/>
          <w:lang w:val="uk-UA"/>
        </w:rPr>
        <w:t xml:space="preserve">2. Виконавець не пізніше наступного робочого дня, коли йому стало відомо про обставини, зазначені в частині першій цієї статті, а з підстави, передбаченої пунктом 9 частини першої цієї статті, - у день надіслання виконавчого документа до центрального органу виконавчої влади, що реалізує державну політику у </w:t>
      </w:r>
      <w:r w:rsidRPr="00EA25C7">
        <w:rPr>
          <w:sz w:val="28"/>
          <w:szCs w:val="28"/>
          <w:lang w:val="uk-UA"/>
        </w:rPr>
        <w:lastRenderedPageBreak/>
        <w:t>сфері казначейського обслуговування бюджетних коштів, зупиняє вчинення виконавчих дій, про що виносить відповідну постанову.</w:t>
      </w:r>
    </w:p>
    <w:p w:rsidR="00E4045A" w:rsidRPr="00EA25C7" w:rsidRDefault="00E4045A" w:rsidP="00EA25C7">
      <w:pPr>
        <w:pStyle w:val="rvps2"/>
        <w:shd w:val="clear" w:color="auto" w:fill="FFFFFF"/>
        <w:spacing w:before="0" w:beforeAutospacing="0" w:after="0" w:afterAutospacing="0"/>
        <w:ind w:firstLine="450"/>
        <w:jc w:val="both"/>
        <w:rPr>
          <w:sz w:val="28"/>
          <w:szCs w:val="28"/>
          <w:lang w:val="uk-UA"/>
        </w:rPr>
      </w:pPr>
      <w:bookmarkStart w:id="23" w:name="n356"/>
      <w:bookmarkEnd w:id="23"/>
      <w:r w:rsidRPr="00EA25C7">
        <w:rPr>
          <w:sz w:val="28"/>
          <w:szCs w:val="28"/>
          <w:lang w:val="uk-UA"/>
        </w:rPr>
        <w:t>3. Виконавче провадження з підстави, передбаченої пунктом 7 частини першої цієї статті, не зупиняється в разі стягнення заборгованості перед Національною акціонерною компані</w:t>
      </w:r>
      <w:r w:rsidR="00A35338">
        <w:rPr>
          <w:sz w:val="28"/>
          <w:szCs w:val="28"/>
          <w:lang w:val="uk-UA"/>
        </w:rPr>
        <w:t>єю «Нафтогаз України»</w:t>
      </w:r>
      <w:r w:rsidRPr="00EA25C7">
        <w:rPr>
          <w:sz w:val="28"/>
          <w:szCs w:val="28"/>
          <w:lang w:val="uk-UA"/>
        </w:rPr>
        <w:t xml:space="preserve"> та/або її дочірнім підприємством, що здійснювало постачання природного газу на підставі ліцензії.</w:t>
      </w:r>
    </w:p>
    <w:p w:rsidR="00E4045A" w:rsidRPr="00EA25C7" w:rsidRDefault="00E4045A" w:rsidP="00EA25C7">
      <w:pPr>
        <w:pStyle w:val="rvps2"/>
        <w:shd w:val="clear" w:color="auto" w:fill="FFFFFF"/>
        <w:spacing w:before="0" w:beforeAutospacing="0" w:after="0" w:afterAutospacing="0"/>
        <w:ind w:firstLine="450"/>
        <w:jc w:val="both"/>
        <w:rPr>
          <w:color w:val="000000"/>
          <w:sz w:val="28"/>
          <w:szCs w:val="28"/>
          <w:lang w:val="uk-UA"/>
        </w:rPr>
      </w:pPr>
      <w:bookmarkStart w:id="24" w:name="n1018"/>
      <w:bookmarkEnd w:id="24"/>
      <w:r w:rsidRPr="00EA25C7">
        <w:rPr>
          <w:sz w:val="28"/>
          <w:szCs w:val="28"/>
          <w:lang w:val="uk-UA"/>
        </w:rPr>
        <w:t xml:space="preserve">4. Виконавче провадження з підстави, передбаченої пунктом 10 частини першої цієї </w:t>
      </w:r>
      <w:r w:rsidRPr="00EA25C7">
        <w:rPr>
          <w:color w:val="000000"/>
          <w:sz w:val="28"/>
          <w:szCs w:val="28"/>
          <w:lang w:val="uk-UA"/>
        </w:rPr>
        <w:t xml:space="preserve">статті, зупиняється у частині стягнення заборгованості за спожитий природний газ, використаний станом на 1 липня 2016 року для виробництва теплової та електричної енергії, послуг з опалення та постачання гарячої води (з урахуванням суми неустойки (штрафу, пені), інфляційних нарахувань, процентів річних, нарахованих на заборгованість за спожитий природний газ), крім заборгованості, раніше </w:t>
      </w:r>
      <w:proofErr w:type="spellStart"/>
      <w:r w:rsidRPr="00EA25C7">
        <w:rPr>
          <w:color w:val="000000"/>
          <w:sz w:val="28"/>
          <w:szCs w:val="28"/>
          <w:lang w:val="uk-UA"/>
        </w:rPr>
        <w:t>реструктуризованої</w:t>
      </w:r>
      <w:proofErr w:type="spellEnd"/>
      <w:r w:rsidRPr="00EA25C7">
        <w:rPr>
          <w:color w:val="000000"/>
          <w:sz w:val="28"/>
          <w:szCs w:val="28"/>
          <w:lang w:val="uk-UA"/>
        </w:rPr>
        <w:t xml:space="preserve"> (розстроченої та/або відстроченої), у тому числі згідно з рішенням суду.</w:t>
      </w:r>
    </w:p>
    <w:p w:rsidR="00CD63AF" w:rsidRPr="00EA25C7" w:rsidRDefault="00CD63AF" w:rsidP="00974795">
      <w:pPr>
        <w:ind w:firstLine="709"/>
        <w:jc w:val="both"/>
        <w:rPr>
          <w:b/>
          <w:sz w:val="28"/>
          <w:szCs w:val="28"/>
          <w:lang w:val="uk-UA" w:eastAsia="uk-UA"/>
        </w:rPr>
      </w:pPr>
    </w:p>
    <w:p w:rsidR="00CD63AF" w:rsidRPr="00EA25C7" w:rsidRDefault="00CD63AF" w:rsidP="00EB4750">
      <w:pPr>
        <w:jc w:val="both"/>
        <w:rPr>
          <w:b/>
          <w:sz w:val="28"/>
          <w:szCs w:val="28"/>
          <w:lang w:val="uk-UA" w:eastAsia="uk-UA"/>
        </w:rPr>
      </w:pPr>
    </w:p>
    <w:p w:rsidR="00A35338" w:rsidRDefault="00EA25C7" w:rsidP="00EB4750">
      <w:pPr>
        <w:jc w:val="both"/>
        <w:rPr>
          <w:bCs/>
          <w:sz w:val="28"/>
          <w:szCs w:val="28"/>
          <w:lang w:val="uk-UA"/>
        </w:rPr>
      </w:pPr>
      <w:r w:rsidRPr="00EA25C7">
        <w:rPr>
          <w:bCs/>
          <w:sz w:val="28"/>
          <w:szCs w:val="28"/>
          <w:lang w:val="uk-UA"/>
        </w:rPr>
        <w:t xml:space="preserve">Голосіївський районний відділ </w:t>
      </w:r>
    </w:p>
    <w:p w:rsidR="00A35338" w:rsidRDefault="00EA25C7" w:rsidP="00EB4750">
      <w:pPr>
        <w:jc w:val="both"/>
        <w:rPr>
          <w:bCs/>
          <w:sz w:val="28"/>
          <w:szCs w:val="28"/>
          <w:lang w:val="uk-UA"/>
        </w:rPr>
      </w:pPr>
      <w:r w:rsidRPr="00EA25C7">
        <w:rPr>
          <w:bCs/>
          <w:sz w:val="28"/>
          <w:szCs w:val="28"/>
          <w:lang w:val="uk-UA"/>
        </w:rPr>
        <w:t xml:space="preserve">державної виконавчої служби м. Київ </w:t>
      </w:r>
    </w:p>
    <w:p w:rsidR="00CD63AF" w:rsidRPr="00EA25C7" w:rsidRDefault="00EA25C7" w:rsidP="00EB4750">
      <w:pPr>
        <w:jc w:val="both"/>
        <w:rPr>
          <w:b/>
          <w:sz w:val="28"/>
          <w:szCs w:val="28"/>
          <w:lang w:val="uk-UA" w:eastAsia="uk-UA"/>
        </w:rPr>
      </w:pPr>
      <w:r w:rsidRPr="00EA25C7">
        <w:rPr>
          <w:bCs/>
          <w:sz w:val="28"/>
          <w:szCs w:val="28"/>
          <w:lang w:val="uk-UA"/>
        </w:rPr>
        <w:t>Головного територіального управління  у місті  Києві</w:t>
      </w:r>
    </w:p>
    <w:p w:rsidR="00E4045A" w:rsidRPr="00EA25C7" w:rsidRDefault="00E4045A" w:rsidP="00E4045A">
      <w:pPr>
        <w:tabs>
          <w:tab w:val="left" w:pos="6975"/>
        </w:tabs>
        <w:jc w:val="both"/>
        <w:rPr>
          <w:b/>
          <w:sz w:val="28"/>
          <w:szCs w:val="28"/>
          <w:lang w:val="uk-UA" w:eastAsia="uk-UA"/>
        </w:rPr>
      </w:pPr>
    </w:p>
    <w:sectPr w:rsidR="00E4045A" w:rsidRPr="00EA25C7" w:rsidSect="005909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A2"/>
    <w:rsid w:val="00000064"/>
    <w:rsid w:val="00000BF5"/>
    <w:rsid w:val="00022FC1"/>
    <w:rsid w:val="00030B89"/>
    <w:rsid w:val="00037C2E"/>
    <w:rsid w:val="0004046C"/>
    <w:rsid w:val="0005178B"/>
    <w:rsid w:val="000542C1"/>
    <w:rsid w:val="00084594"/>
    <w:rsid w:val="000D4E3F"/>
    <w:rsid w:val="00110A28"/>
    <w:rsid w:val="00152248"/>
    <w:rsid w:val="00170A0C"/>
    <w:rsid w:val="001824E4"/>
    <w:rsid w:val="001A5164"/>
    <w:rsid w:val="001F5400"/>
    <w:rsid w:val="00202324"/>
    <w:rsid w:val="002065B5"/>
    <w:rsid w:val="0024169B"/>
    <w:rsid w:val="00285C53"/>
    <w:rsid w:val="0028747C"/>
    <w:rsid w:val="002C56A6"/>
    <w:rsid w:val="002F7687"/>
    <w:rsid w:val="00300CB7"/>
    <w:rsid w:val="00314F3C"/>
    <w:rsid w:val="00376B12"/>
    <w:rsid w:val="003A0B20"/>
    <w:rsid w:val="003C3638"/>
    <w:rsid w:val="003F07C8"/>
    <w:rsid w:val="0040534C"/>
    <w:rsid w:val="00444AB9"/>
    <w:rsid w:val="00450769"/>
    <w:rsid w:val="0045766B"/>
    <w:rsid w:val="0047146F"/>
    <w:rsid w:val="00474408"/>
    <w:rsid w:val="00482089"/>
    <w:rsid w:val="00495A1C"/>
    <w:rsid w:val="004A04FC"/>
    <w:rsid w:val="004C3736"/>
    <w:rsid w:val="004C7B77"/>
    <w:rsid w:val="004E7994"/>
    <w:rsid w:val="00532CA5"/>
    <w:rsid w:val="005570F1"/>
    <w:rsid w:val="005671A9"/>
    <w:rsid w:val="00577BF9"/>
    <w:rsid w:val="00586621"/>
    <w:rsid w:val="00590937"/>
    <w:rsid w:val="005C2A16"/>
    <w:rsid w:val="005C5B62"/>
    <w:rsid w:val="006145A2"/>
    <w:rsid w:val="00634269"/>
    <w:rsid w:val="006356BB"/>
    <w:rsid w:val="006731F9"/>
    <w:rsid w:val="00674F27"/>
    <w:rsid w:val="0069572F"/>
    <w:rsid w:val="006A2FAD"/>
    <w:rsid w:val="006B62E6"/>
    <w:rsid w:val="006D66EA"/>
    <w:rsid w:val="006D7EC8"/>
    <w:rsid w:val="0074560A"/>
    <w:rsid w:val="00746E25"/>
    <w:rsid w:val="00795359"/>
    <w:rsid w:val="0079752F"/>
    <w:rsid w:val="007B0D6B"/>
    <w:rsid w:val="007F7859"/>
    <w:rsid w:val="008176E8"/>
    <w:rsid w:val="008C2346"/>
    <w:rsid w:val="008D3FFB"/>
    <w:rsid w:val="0090772C"/>
    <w:rsid w:val="00914698"/>
    <w:rsid w:val="009148D7"/>
    <w:rsid w:val="00915F3A"/>
    <w:rsid w:val="00924517"/>
    <w:rsid w:val="00931723"/>
    <w:rsid w:val="009471FA"/>
    <w:rsid w:val="00947DEB"/>
    <w:rsid w:val="00974795"/>
    <w:rsid w:val="009C40F3"/>
    <w:rsid w:val="009D09AB"/>
    <w:rsid w:val="009D1073"/>
    <w:rsid w:val="009D6FB4"/>
    <w:rsid w:val="009F04F7"/>
    <w:rsid w:val="009F6FC4"/>
    <w:rsid w:val="00A16DB8"/>
    <w:rsid w:val="00A35338"/>
    <w:rsid w:val="00A41C56"/>
    <w:rsid w:val="00A477C5"/>
    <w:rsid w:val="00A5413B"/>
    <w:rsid w:val="00A91B22"/>
    <w:rsid w:val="00A95221"/>
    <w:rsid w:val="00AC0D59"/>
    <w:rsid w:val="00B13546"/>
    <w:rsid w:val="00B2792A"/>
    <w:rsid w:val="00B5454A"/>
    <w:rsid w:val="00B67609"/>
    <w:rsid w:val="00B8336B"/>
    <w:rsid w:val="00B86286"/>
    <w:rsid w:val="00BA432E"/>
    <w:rsid w:val="00BC799F"/>
    <w:rsid w:val="00BE197B"/>
    <w:rsid w:val="00C05592"/>
    <w:rsid w:val="00C20ED0"/>
    <w:rsid w:val="00C60243"/>
    <w:rsid w:val="00C72FE7"/>
    <w:rsid w:val="00CD21B9"/>
    <w:rsid w:val="00CD5D8F"/>
    <w:rsid w:val="00CD63AF"/>
    <w:rsid w:val="00CF40F5"/>
    <w:rsid w:val="00D13732"/>
    <w:rsid w:val="00D34DE4"/>
    <w:rsid w:val="00D40F9A"/>
    <w:rsid w:val="00D74022"/>
    <w:rsid w:val="00DC3195"/>
    <w:rsid w:val="00DD7710"/>
    <w:rsid w:val="00E21784"/>
    <w:rsid w:val="00E4045A"/>
    <w:rsid w:val="00E53ECC"/>
    <w:rsid w:val="00E55A8F"/>
    <w:rsid w:val="00E71230"/>
    <w:rsid w:val="00E72ABD"/>
    <w:rsid w:val="00EA25C7"/>
    <w:rsid w:val="00EB4750"/>
    <w:rsid w:val="00ED0EB5"/>
    <w:rsid w:val="00ED6EBE"/>
    <w:rsid w:val="00EF17A4"/>
    <w:rsid w:val="00EF4D18"/>
    <w:rsid w:val="00F66E97"/>
    <w:rsid w:val="00FA5BD9"/>
    <w:rsid w:val="00FB119C"/>
    <w:rsid w:val="00FB633B"/>
    <w:rsid w:val="00FF5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7B43D-60D0-4233-A76D-CFC9E8A0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5A2"/>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0D59"/>
    <w:rPr>
      <w:color w:val="0000FF"/>
      <w:u w:val="single"/>
    </w:rPr>
  </w:style>
  <w:style w:type="paragraph" w:styleId="a4">
    <w:name w:val="Balloon Text"/>
    <w:basedOn w:val="a"/>
    <w:link w:val="a5"/>
    <w:uiPriority w:val="99"/>
    <w:semiHidden/>
    <w:unhideWhenUsed/>
    <w:rsid w:val="00AC0D59"/>
    <w:rPr>
      <w:rFonts w:ascii="Tahoma" w:hAnsi="Tahoma" w:cs="Tahoma"/>
      <w:sz w:val="16"/>
      <w:szCs w:val="16"/>
    </w:rPr>
  </w:style>
  <w:style w:type="character" w:customStyle="1" w:styleId="a5">
    <w:name w:val="Текст выноски Знак"/>
    <w:basedOn w:val="a0"/>
    <w:link w:val="a4"/>
    <w:uiPriority w:val="99"/>
    <w:semiHidden/>
    <w:rsid w:val="00AC0D59"/>
    <w:rPr>
      <w:rFonts w:ascii="Tahoma" w:eastAsia="Times New Roman" w:hAnsi="Tahoma" w:cs="Tahoma"/>
      <w:sz w:val="16"/>
      <w:szCs w:val="16"/>
      <w:lang w:val="ru-RU" w:eastAsia="ar-SA"/>
    </w:rPr>
  </w:style>
  <w:style w:type="paragraph" w:styleId="a6">
    <w:name w:val="Body Text Indent"/>
    <w:basedOn w:val="a"/>
    <w:link w:val="a7"/>
    <w:unhideWhenUsed/>
    <w:rsid w:val="003F07C8"/>
    <w:pPr>
      <w:widowControl w:val="0"/>
      <w:ind w:firstLine="540"/>
    </w:pPr>
    <w:rPr>
      <w:rFonts w:eastAsia="Arial Unicode MS"/>
      <w:kern w:val="2"/>
      <w:sz w:val="28"/>
      <w:lang w:eastAsia="ru-RU"/>
    </w:rPr>
  </w:style>
  <w:style w:type="character" w:customStyle="1" w:styleId="a7">
    <w:name w:val="Основной текст с отступом Знак"/>
    <w:basedOn w:val="a0"/>
    <w:link w:val="a6"/>
    <w:rsid w:val="003F07C8"/>
    <w:rPr>
      <w:rFonts w:ascii="Times New Roman" w:eastAsia="Arial Unicode MS" w:hAnsi="Times New Roman" w:cs="Times New Roman"/>
      <w:kern w:val="2"/>
      <w:sz w:val="28"/>
      <w:szCs w:val="24"/>
      <w:lang w:eastAsia="ru-RU"/>
    </w:rPr>
  </w:style>
  <w:style w:type="paragraph" w:styleId="a8">
    <w:name w:val="Body Text"/>
    <w:basedOn w:val="a"/>
    <w:link w:val="a9"/>
    <w:uiPriority w:val="99"/>
    <w:unhideWhenUsed/>
    <w:rsid w:val="00495A1C"/>
    <w:pPr>
      <w:suppressAutoHyphens w:val="0"/>
      <w:spacing w:after="120"/>
    </w:pPr>
    <w:rPr>
      <w:lang w:eastAsia="ru-RU"/>
    </w:rPr>
  </w:style>
  <w:style w:type="character" w:customStyle="1" w:styleId="a9">
    <w:name w:val="Основной текст Знак"/>
    <w:basedOn w:val="a0"/>
    <w:link w:val="a8"/>
    <w:uiPriority w:val="99"/>
    <w:rsid w:val="00495A1C"/>
    <w:rPr>
      <w:rFonts w:ascii="Times New Roman" w:eastAsia="Times New Roman" w:hAnsi="Times New Roman" w:cs="Times New Roman"/>
      <w:sz w:val="24"/>
      <w:szCs w:val="24"/>
      <w:lang w:val="ru-RU" w:eastAsia="ru-RU"/>
    </w:rPr>
  </w:style>
  <w:style w:type="character" w:customStyle="1" w:styleId="rvts0">
    <w:name w:val="rvts0"/>
    <w:basedOn w:val="a0"/>
    <w:rsid w:val="00495A1C"/>
  </w:style>
  <w:style w:type="paragraph" w:customStyle="1" w:styleId="rvps2">
    <w:name w:val="rvps2"/>
    <w:basedOn w:val="a"/>
    <w:rsid w:val="00E4045A"/>
    <w:pPr>
      <w:suppressAutoHyphens w:val="0"/>
      <w:spacing w:before="100" w:beforeAutospacing="1" w:after="100" w:afterAutospacing="1"/>
    </w:pPr>
    <w:rPr>
      <w:lang w:eastAsia="ru-RU"/>
    </w:rPr>
  </w:style>
  <w:style w:type="character" w:customStyle="1" w:styleId="rvts9">
    <w:name w:val="rvts9"/>
    <w:basedOn w:val="a0"/>
    <w:rsid w:val="00E4045A"/>
  </w:style>
  <w:style w:type="character" w:customStyle="1" w:styleId="rvts46">
    <w:name w:val="rvts46"/>
    <w:basedOn w:val="a0"/>
    <w:rsid w:val="00E4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508">
      <w:bodyDiv w:val="1"/>
      <w:marLeft w:val="0"/>
      <w:marRight w:val="0"/>
      <w:marTop w:val="0"/>
      <w:marBottom w:val="0"/>
      <w:divBdr>
        <w:top w:val="none" w:sz="0" w:space="0" w:color="auto"/>
        <w:left w:val="none" w:sz="0" w:space="0" w:color="auto"/>
        <w:bottom w:val="none" w:sz="0" w:space="0" w:color="auto"/>
        <w:right w:val="none" w:sz="0" w:space="0" w:color="auto"/>
      </w:divBdr>
    </w:div>
    <w:div w:id="468785537">
      <w:bodyDiv w:val="1"/>
      <w:marLeft w:val="0"/>
      <w:marRight w:val="0"/>
      <w:marTop w:val="0"/>
      <w:marBottom w:val="0"/>
      <w:divBdr>
        <w:top w:val="none" w:sz="0" w:space="0" w:color="auto"/>
        <w:left w:val="none" w:sz="0" w:space="0" w:color="auto"/>
        <w:bottom w:val="none" w:sz="0" w:space="0" w:color="auto"/>
        <w:right w:val="none" w:sz="0" w:space="0" w:color="auto"/>
      </w:divBdr>
    </w:div>
    <w:div w:id="1039401449">
      <w:bodyDiv w:val="1"/>
      <w:marLeft w:val="0"/>
      <w:marRight w:val="0"/>
      <w:marTop w:val="0"/>
      <w:marBottom w:val="0"/>
      <w:divBdr>
        <w:top w:val="none" w:sz="0" w:space="0" w:color="auto"/>
        <w:left w:val="none" w:sz="0" w:space="0" w:color="auto"/>
        <w:bottom w:val="none" w:sz="0" w:space="0" w:color="auto"/>
        <w:right w:val="none" w:sz="0" w:space="0" w:color="auto"/>
      </w:divBdr>
    </w:div>
    <w:div w:id="17227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13-17" TargetMode="External"/><Relationship Id="rId3" Type="http://schemas.openxmlformats.org/officeDocument/2006/relationships/webSettings" Target="webSettings.xml"/><Relationship Id="rId7" Type="http://schemas.openxmlformats.org/officeDocument/2006/relationships/hyperlink" Target="https://zakon.rada.gov.ua/laws/show/1730-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901-17" TargetMode="External"/><Relationship Id="rId11" Type="http://schemas.openxmlformats.org/officeDocument/2006/relationships/fontTable" Target="fontTable.xml"/><Relationship Id="rId5" Type="http://schemas.openxmlformats.org/officeDocument/2006/relationships/hyperlink" Target="https://zakon.rada.gov.ua/laws/show/2711-15" TargetMode="External"/><Relationship Id="rId10" Type="http://schemas.openxmlformats.org/officeDocument/2006/relationships/hyperlink" Target="https://zakon.rada.gov.ua/laws/show/2021-19" TargetMode="External"/><Relationship Id="rId4" Type="http://schemas.openxmlformats.org/officeDocument/2006/relationships/hyperlink" Target="https://zakon.rada.gov.ua/laws/show/1404-19" TargetMode="External"/><Relationship Id="rId9" Type="http://schemas.openxmlformats.org/officeDocument/2006/relationships/hyperlink" Target="https://zakon.rada.gov.ua/laws/show/521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7681</CharactersWithSpaces>
  <SharedDoc>false</SharedDoc>
  <HLinks>
    <vt:vector size="42" baseType="variant">
      <vt:variant>
        <vt:i4>6225999</vt:i4>
      </vt:variant>
      <vt:variant>
        <vt:i4>18</vt:i4>
      </vt:variant>
      <vt:variant>
        <vt:i4>0</vt:i4>
      </vt:variant>
      <vt:variant>
        <vt:i4>5</vt:i4>
      </vt:variant>
      <vt:variant>
        <vt:lpwstr>https://zakon.rada.gov.ua/laws/show/2021-19</vt:lpwstr>
      </vt:variant>
      <vt:variant>
        <vt:lpwstr>n4</vt:lpwstr>
      </vt:variant>
      <vt:variant>
        <vt:i4>5439563</vt:i4>
      </vt:variant>
      <vt:variant>
        <vt:i4>15</vt:i4>
      </vt:variant>
      <vt:variant>
        <vt:i4>0</vt:i4>
      </vt:variant>
      <vt:variant>
        <vt:i4>5</vt:i4>
      </vt:variant>
      <vt:variant>
        <vt:lpwstr>https://zakon.rada.gov.ua/laws/show/5213-17</vt:lpwstr>
      </vt:variant>
      <vt:variant>
        <vt:lpwstr>n81</vt:lpwstr>
      </vt:variant>
      <vt:variant>
        <vt:i4>5439563</vt:i4>
      </vt:variant>
      <vt:variant>
        <vt:i4>12</vt:i4>
      </vt:variant>
      <vt:variant>
        <vt:i4>0</vt:i4>
      </vt:variant>
      <vt:variant>
        <vt:i4>5</vt:i4>
      </vt:variant>
      <vt:variant>
        <vt:lpwstr>https://zakon.rada.gov.ua/laws/show/5213-17</vt:lpwstr>
      </vt:variant>
      <vt:variant>
        <vt:lpwstr>n81</vt:lpwstr>
      </vt:variant>
      <vt:variant>
        <vt:i4>7143459</vt:i4>
      </vt:variant>
      <vt:variant>
        <vt:i4>9</vt:i4>
      </vt:variant>
      <vt:variant>
        <vt:i4>0</vt:i4>
      </vt:variant>
      <vt:variant>
        <vt:i4>5</vt:i4>
      </vt:variant>
      <vt:variant>
        <vt:lpwstr>https://zakon.rada.gov.ua/laws/show/1730-19</vt:lpwstr>
      </vt:variant>
      <vt:variant>
        <vt:lpwstr/>
      </vt:variant>
      <vt:variant>
        <vt:i4>5242955</vt:i4>
      </vt:variant>
      <vt:variant>
        <vt:i4>6</vt:i4>
      </vt:variant>
      <vt:variant>
        <vt:i4>0</vt:i4>
      </vt:variant>
      <vt:variant>
        <vt:i4>5</vt:i4>
      </vt:variant>
      <vt:variant>
        <vt:lpwstr>https://zakon.rada.gov.ua/laws/show/4901-17</vt:lpwstr>
      </vt:variant>
      <vt:variant>
        <vt:lpwstr>n26</vt:lpwstr>
      </vt:variant>
      <vt:variant>
        <vt:i4>7077922</vt:i4>
      </vt:variant>
      <vt:variant>
        <vt:i4>3</vt:i4>
      </vt:variant>
      <vt:variant>
        <vt:i4>0</vt:i4>
      </vt:variant>
      <vt:variant>
        <vt:i4>5</vt:i4>
      </vt:variant>
      <vt:variant>
        <vt:lpwstr>https://zakon.rada.gov.ua/laws/show/2711-15</vt:lpwstr>
      </vt:variant>
      <vt:variant>
        <vt:lpwstr/>
      </vt:variant>
      <vt:variant>
        <vt:i4>7143544</vt:i4>
      </vt:variant>
      <vt:variant>
        <vt:i4>0</vt:i4>
      </vt:variant>
      <vt:variant>
        <vt:i4>0</vt:i4>
      </vt:variant>
      <vt:variant>
        <vt:i4>5</vt:i4>
      </vt:variant>
      <vt:variant>
        <vt:lpwstr>https://zakon.rada.gov.ua/laws/show/1404-19</vt:lpwstr>
      </vt:variant>
      <vt:variant>
        <vt:lpwstr>n166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Тюмин</cp:lastModifiedBy>
  <cp:revision>2</cp:revision>
  <cp:lastPrinted>2019-03-05T08:23:00Z</cp:lastPrinted>
  <dcterms:created xsi:type="dcterms:W3CDTF">2019-07-04T07:39:00Z</dcterms:created>
  <dcterms:modified xsi:type="dcterms:W3CDTF">2019-07-04T07:39:00Z</dcterms:modified>
</cp:coreProperties>
</file>