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77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Домашнє насильство – кримінальний злочин, а не любов</w:t>
      </w:r>
    </w:p>
    <w:p w:rsidR="00486C77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Чи варто вважати побиття або психологічні приниження будь-кого з членів родини «сміттям, яке не варто виносити з дому»? Звісно, ні! Домашнє насильство починається з «незначних дрібниць», а може закінчитись летально. Навіть дитина, яка стала свідком насильства у своїй родині, також визнається його жертвою, і має право на всі відповідні соціальні, медичні, психологічні та правові послуги.</w:t>
      </w:r>
    </w:p>
    <w:p w:rsidR="00486C77" w:rsidRDefault="00FA2C75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</w:t>
      </w:r>
      <w:r w:rsidR="00486C77">
        <w:rPr>
          <w:color w:val="000000"/>
          <w:sz w:val="28"/>
          <w:szCs w:val="28"/>
        </w:rPr>
        <w:t>омашнє насильство – це не тільки фізичн</w:t>
      </w:r>
      <w:r>
        <w:rPr>
          <w:color w:val="000000"/>
          <w:sz w:val="28"/>
          <w:szCs w:val="28"/>
        </w:rPr>
        <w:t>е</w:t>
      </w:r>
      <w:r w:rsidR="00486C77">
        <w:rPr>
          <w:color w:val="000000"/>
          <w:sz w:val="28"/>
          <w:szCs w:val="28"/>
        </w:rPr>
        <w:t xml:space="preserve"> знущання та побиття, а</w:t>
      </w:r>
      <w:r>
        <w:rPr>
          <w:color w:val="000000"/>
          <w:sz w:val="28"/>
          <w:szCs w:val="28"/>
        </w:rPr>
        <w:t>ле</w:t>
      </w:r>
      <w:r w:rsidR="00486C77">
        <w:rPr>
          <w:color w:val="000000"/>
          <w:sz w:val="28"/>
          <w:szCs w:val="28"/>
        </w:rPr>
        <w:t xml:space="preserve"> й сексуальне насильство (будь-які діяння сексуального характеру, вчинені без згоди особи);</w:t>
      </w:r>
      <w:r>
        <w:rPr>
          <w:color w:val="000000"/>
          <w:sz w:val="28"/>
          <w:szCs w:val="28"/>
        </w:rPr>
        <w:t xml:space="preserve"> </w:t>
      </w:r>
      <w:r w:rsidR="00486C77">
        <w:rPr>
          <w:color w:val="000000"/>
          <w:sz w:val="28"/>
          <w:szCs w:val="28"/>
        </w:rPr>
        <w:t>психологічне</w:t>
      </w:r>
      <w:r>
        <w:rPr>
          <w:color w:val="000000"/>
          <w:sz w:val="28"/>
          <w:szCs w:val="28"/>
        </w:rPr>
        <w:t xml:space="preserve"> </w:t>
      </w:r>
      <w:r w:rsidR="00486C77">
        <w:rPr>
          <w:color w:val="000000"/>
          <w:sz w:val="28"/>
          <w:szCs w:val="28"/>
        </w:rPr>
        <w:t>(словесні образи, погрози, приниження, переслідування, залякування, обмеження волевиявлення особи, контроль у репродуктивній сфері, що спричиняють невпевненість, нездатність захистити себе, шкоду психічному здоров’ю); економічне</w:t>
      </w:r>
      <w:r>
        <w:rPr>
          <w:color w:val="000000"/>
          <w:sz w:val="28"/>
          <w:szCs w:val="28"/>
        </w:rPr>
        <w:t xml:space="preserve"> </w:t>
      </w:r>
      <w:r w:rsidR="00486C77">
        <w:rPr>
          <w:color w:val="000000"/>
          <w:sz w:val="28"/>
          <w:szCs w:val="28"/>
        </w:rPr>
        <w:t>(умисне позбавлення житла, їжі, одягу, коштів чи документів, перешкоджання в отриманні лікування, заборона працювати, примушування до праці, заборона навчатися).</w:t>
      </w:r>
    </w:p>
    <w:p w:rsidR="00486C77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Від 11 січня</w:t>
      </w:r>
      <w:r w:rsidR="00FA2C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2019</w:t>
      </w:r>
      <w:r w:rsidR="00FA2C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року в Україні набули чинності зміни до Кримінального кодексу, що визнають системне насильство в сім'ї злочином. Хто визнається жертвами</w:t>
      </w:r>
      <w:r w:rsidR="00FA2C7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щодо яких можуть чинитись насильницькі дії? Зараз це не лише дружина, дитина, чоловік</w:t>
      </w:r>
      <w:r w:rsidR="00FA2C75">
        <w:rPr>
          <w:color w:val="000000"/>
          <w:sz w:val="28"/>
          <w:szCs w:val="28"/>
        </w:rPr>
        <w:t>, але</w:t>
      </w:r>
      <w:r>
        <w:rPr>
          <w:color w:val="000000"/>
          <w:sz w:val="28"/>
          <w:szCs w:val="28"/>
        </w:rPr>
        <w:t xml:space="preserve"> й бабусі, дідусі, колишнє подружжя, люди, які мають спільну дитину чи живуть у громадянському шлюбі, наречені, брати, сестри.</w:t>
      </w:r>
    </w:p>
    <w:p w:rsidR="00486C77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Насамперед ці зміни до Кримінального кодексу мають допомогти українським жінкам. За даними </w:t>
      </w:r>
      <w:proofErr w:type="spellStart"/>
      <w:r>
        <w:rPr>
          <w:color w:val="000000"/>
          <w:sz w:val="28"/>
          <w:szCs w:val="28"/>
        </w:rPr>
        <w:t>Мінсоцполітики</w:t>
      </w:r>
      <w:proofErr w:type="spellEnd"/>
      <w:r>
        <w:rPr>
          <w:color w:val="000000"/>
          <w:sz w:val="28"/>
          <w:szCs w:val="28"/>
        </w:rPr>
        <w:t>, у</w:t>
      </w:r>
      <w:r w:rsidR="00FA2C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2013-2018</w:t>
      </w:r>
      <w:r w:rsidR="00FA2C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роках 90% тих, хто звертався щодо насильства в сім'ї до </w:t>
      </w:r>
      <w:r w:rsidR="00FA2C75">
        <w:rPr>
          <w:color w:val="000000"/>
          <w:sz w:val="28"/>
          <w:szCs w:val="28"/>
        </w:rPr>
        <w:t xml:space="preserve">державних </w:t>
      </w:r>
      <w:r>
        <w:rPr>
          <w:color w:val="000000"/>
          <w:sz w:val="28"/>
          <w:szCs w:val="28"/>
        </w:rPr>
        <w:t>органів</w:t>
      </w:r>
      <w:r w:rsidR="00FA2C75">
        <w:rPr>
          <w:color w:val="000000"/>
          <w:sz w:val="28"/>
          <w:szCs w:val="28"/>
        </w:rPr>
        <w:t>, –</w:t>
      </w:r>
      <w:r>
        <w:rPr>
          <w:color w:val="000000"/>
          <w:sz w:val="28"/>
          <w:szCs w:val="28"/>
        </w:rPr>
        <w:t xml:space="preserve"> це були жінки, 8,5-9% </w:t>
      </w:r>
      <w:r w:rsidR="00FA2C75">
        <w:rPr>
          <w:color w:val="000000"/>
          <w:sz w:val="28"/>
          <w:szCs w:val="28"/>
        </w:rPr>
        <w:t>– чоловіки та 1-1,5% –</w:t>
      </w:r>
      <w:r>
        <w:rPr>
          <w:color w:val="000000"/>
          <w:sz w:val="28"/>
          <w:szCs w:val="28"/>
        </w:rPr>
        <w:t xml:space="preserve"> діти. За домашнє насильство як злочин кривдники можуть</w:t>
      </w:r>
      <w:r w:rsidR="00FA2C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бути покаран</w:t>
      </w:r>
      <w:r w:rsidR="00FA2C75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громадськими роботами, арештом на строк до шести місяців, обмеженням волі на строк до п'яти років чи позбавленням волі на строк до двох років.</w:t>
      </w:r>
    </w:p>
    <w:p w:rsidR="00486C77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При цьому те, що такий злочин учиняється щодо одного з подружжя чи будь-якої іншої особи, з якою зловмисник має близькі або сімейні стосунки, є обтяжуючою обставиною.</w:t>
      </w:r>
    </w:p>
    <w:p w:rsidR="00486C77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19 квітня в</w:t>
      </w:r>
      <w:r w:rsidR="00A928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Україні почав діяти важливий документ </w:t>
      </w:r>
      <w:r w:rsidR="00A9281E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Порядок проведення оцінки ризиків </w:t>
      </w:r>
      <w:r w:rsidR="00A9281E">
        <w:rPr>
          <w:color w:val="000000"/>
          <w:sz w:val="28"/>
          <w:szCs w:val="28"/>
        </w:rPr>
        <w:t>вчинення домашнього насильства. Він</w:t>
      </w:r>
      <w:r>
        <w:rPr>
          <w:color w:val="000000"/>
          <w:sz w:val="28"/>
          <w:szCs w:val="28"/>
        </w:rPr>
        <w:t xml:space="preserve"> визначає процедуру проведення оцінки вірогідності продовження чи повторного вчинення домашнього насильства, настання тяжких або особливо тяжких наслідків його вчинення, а також смерті постраждалої особи з метою визначення ефективних заходів реагування, спрямованих на припинення такого насильства та попередження його повторного вчинення.</w:t>
      </w:r>
    </w:p>
    <w:p w:rsidR="00486C77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І це ще не все. Якщо суд обмежив доступ кривдника до його жертви, тобто заборонив перебувати з нею в одному приміщенні, наближатися до місця роботи, вести листування, а особа це порушила, то настає відповідальність</w:t>
      </w:r>
      <w:r w:rsidR="00A9281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передбачена ст. 390-1</w:t>
      </w:r>
      <w:r w:rsidR="00A9281E">
        <w:rPr>
          <w:color w:val="000000"/>
          <w:sz w:val="28"/>
          <w:szCs w:val="28"/>
        </w:rPr>
        <w:t xml:space="preserve"> Кримінального кодексу України,</w:t>
      </w:r>
      <w:r>
        <w:rPr>
          <w:color w:val="000000"/>
          <w:sz w:val="28"/>
          <w:szCs w:val="28"/>
        </w:rPr>
        <w:t xml:space="preserve"> у вигляді арешту на строк до 6 місяців або обмеженням волі на строк до 2 років.</w:t>
      </w:r>
    </w:p>
    <w:p w:rsidR="00486C77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Тож, що робити, якщо щодо Вас, членів Вашої родини чи просто знайомих чиниться домашнє насильс</w:t>
      </w:r>
      <w:r w:rsidR="00A9281E">
        <w:rPr>
          <w:color w:val="000000"/>
          <w:sz w:val="28"/>
          <w:szCs w:val="28"/>
        </w:rPr>
        <w:t>тв</w:t>
      </w:r>
      <w:r>
        <w:rPr>
          <w:color w:val="000000"/>
          <w:sz w:val="28"/>
          <w:szCs w:val="28"/>
        </w:rPr>
        <w:t>о?</w:t>
      </w:r>
    </w:p>
    <w:p w:rsidR="00486C77" w:rsidRDefault="00A9281E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Насамперед о</w:t>
      </w:r>
      <w:r w:rsidR="00486C77">
        <w:rPr>
          <w:color w:val="000000"/>
          <w:sz w:val="28"/>
          <w:szCs w:val="28"/>
        </w:rPr>
        <w:t>дразу викликати поліцію – 102!</w:t>
      </w:r>
      <w:r>
        <w:rPr>
          <w:color w:val="000000"/>
          <w:sz w:val="28"/>
          <w:szCs w:val="28"/>
        </w:rPr>
        <w:t xml:space="preserve"> </w:t>
      </w:r>
      <w:r w:rsidR="00486C77">
        <w:rPr>
          <w:color w:val="000000"/>
          <w:sz w:val="28"/>
          <w:szCs w:val="28"/>
        </w:rPr>
        <w:t>Звернутися на «гарячу лінію» 116-123</w:t>
      </w:r>
      <w:r>
        <w:rPr>
          <w:color w:val="000000"/>
          <w:sz w:val="28"/>
          <w:szCs w:val="28"/>
        </w:rPr>
        <w:t xml:space="preserve"> </w:t>
      </w:r>
      <w:r w:rsidR="00486C77">
        <w:rPr>
          <w:color w:val="000000"/>
          <w:sz w:val="28"/>
          <w:szCs w:val="28"/>
        </w:rPr>
        <w:t>(цілодобово та безкоштовно в межах України)</w:t>
      </w:r>
      <w:r>
        <w:rPr>
          <w:color w:val="000000"/>
          <w:sz w:val="28"/>
          <w:szCs w:val="28"/>
        </w:rPr>
        <w:t>.</w:t>
      </w:r>
    </w:p>
    <w:p w:rsidR="00486C77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Якщо Ви стали свідком насильства стосовно дитини</w:t>
      </w:r>
      <w:r w:rsidR="00A9281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негайно повідомте про це службу у справах дітей! Захистіть дитину від домашнього насильства!</w:t>
      </w:r>
    </w:p>
    <w:p w:rsidR="00486C77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Найнебезпечніший співучасник домашнього насильства – мовчання!</w:t>
      </w:r>
    </w:p>
    <w:p w:rsidR="00486C77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#</w:t>
      </w:r>
      <w:proofErr w:type="spellStart"/>
      <w:r>
        <w:rPr>
          <w:color w:val="000000"/>
          <w:sz w:val="28"/>
          <w:szCs w:val="28"/>
        </w:rPr>
        <w:t>CтопНасильство</w:t>
      </w:r>
      <w:proofErr w:type="spellEnd"/>
      <w:r>
        <w:rPr>
          <w:color w:val="000000"/>
          <w:sz w:val="28"/>
          <w:szCs w:val="28"/>
        </w:rPr>
        <w:t xml:space="preserve"> Законом України «Про запобігання та протидію домашньому насильству» передбачено нові механізми захисту від домашнього насильства:</w:t>
      </w:r>
    </w:p>
    <w:p w:rsidR="00486C77" w:rsidRPr="00902990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i/>
          <w:color w:val="000000"/>
          <w:sz w:val="22"/>
          <w:szCs w:val="22"/>
        </w:rPr>
      </w:pPr>
      <w:r w:rsidRPr="00902990">
        <w:rPr>
          <w:i/>
          <w:color w:val="000000"/>
          <w:sz w:val="28"/>
          <w:szCs w:val="28"/>
        </w:rPr>
        <w:t>Терміновий заборонний припис</w:t>
      </w:r>
    </w:p>
    <w:p w:rsidR="00486C77" w:rsidRDefault="00902990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Підстава: </w:t>
      </w:r>
      <w:r w:rsidR="00486C77">
        <w:rPr>
          <w:color w:val="000000"/>
          <w:sz w:val="28"/>
          <w:szCs w:val="28"/>
        </w:rPr>
        <w:t>ініціатива поліції або заява постраж</w:t>
      </w:r>
      <w:r w:rsidR="00A9281E">
        <w:rPr>
          <w:color w:val="000000"/>
          <w:sz w:val="28"/>
          <w:szCs w:val="28"/>
        </w:rPr>
        <w:t>д</w:t>
      </w:r>
      <w:r w:rsidR="00486C77">
        <w:rPr>
          <w:color w:val="000000"/>
          <w:sz w:val="28"/>
          <w:szCs w:val="28"/>
        </w:rPr>
        <w:t>алої особи</w:t>
      </w:r>
      <w:r>
        <w:rPr>
          <w:color w:val="000000"/>
          <w:sz w:val="28"/>
          <w:szCs w:val="28"/>
        </w:rPr>
        <w:t>.</w:t>
      </w:r>
    </w:p>
    <w:p w:rsidR="00902990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Передбачає для кривдника:</w:t>
      </w:r>
    </w:p>
    <w:p w:rsidR="00902990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зобов’язання залишити місце проживання (перебування) постраждалої особи;</w:t>
      </w:r>
    </w:p>
    <w:p w:rsidR="00902990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заборону на вхід та перебування у місці проживання (перебування) постраждалої особи;</w:t>
      </w:r>
    </w:p>
    <w:p w:rsidR="00486C77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заборону в</w:t>
      </w:r>
      <w:r w:rsidR="00902990">
        <w:rPr>
          <w:color w:val="000000"/>
          <w:sz w:val="28"/>
          <w:szCs w:val="28"/>
        </w:rPr>
        <w:t xml:space="preserve"> будь-який спосіб контактувати </w:t>
      </w:r>
      <w:r>
        <w:rPr>
          <w:color w:val="000000"/>
          <w:sz w:val="28"/>
          <w:szCs w:val="28"/>
        </w:rPr>
        <w:t>з постраждалою особою.</w:t>
      </w:r>
    </w:p>
    <w:p w:rsidR="00902990" w:rsidRDefault="00902990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невиконання припису –</w:t>
      </w:r>
      <w:r w:rsidR="00486C77">
        <w:rPr>
          <w:color w:val="000000"/>
          <w:sz w:val="28"/>
          <w:szCs w:val="28"/>
        </w:rPr>
        <w:t xml:space="preserve"> штраф, громадські роботи або адміністративний арешт.</w:t>
      </w:r>
    </w:p>
    <w:p w:rsidR="00486C77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Термін дії припису </w:t>
      </w:r>
      <w:r w:rsidR="0090299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до 10 діб.</w:t>
      </w:r>
    </w:p>
    <w:p w:rsidR="00486C77" w:rsidRPr="00902990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i/>
          <w:color w:val="000000"/>
          <w:sz w:val="22"/>
          <w:szCs w:val="22"/>
        </w:rPr>
      </w:pPr>
      <w:r w:rsidRPr="00902990">
        <w:rPr>
          <w:i/>
          <w:color w:val="000000"/>
          <w:sz w:val="28"/>
          <w:szCs w:val="28"/>
        </w:rPr>
        <w:t>Обмежувальний припис</w:t>
      </w:r>
    </w:p>
    <w:p w:rsidR="00486C77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Підстава:</w:t>
      </w:r>
      <w:r w:rsidR="009029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заява потерпілої особи або її представника, батьків, родичів, органу опіки та піклування.</w:t>
      </w:r>
    </w:p>
    <w:p w:rsidR="00486C77" w:rsidRDefault="00902990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Рішення </w:t>
      </w:r>
      <w:r w:rsidR="00486C77">
        <w:rPr>
          <w:color w:val="000000"/>
          <w:sz w:val="28"/>
          <w:szCs w:val="28"/>
        </w:rPr>
        <w:t>про застосування обмежувального припису</w:t>
      </w:r>
      <w:r>
        <w:rPr>
          <w:color w:val="000000"/>
          <w:sz w:val="28"/>
          <w:szCs w:val="28"/>
        </w:rPr>
        <w:t xml:space="preserve"> </w:t>
      </w:r>
      <w:r w:rsidR="00486C77">
        <w:rPr>
          <w:color w:val="000000"/>
          <w:sz w:val="28"/>
          <w:szCs w:val="28"/>
        </w:rPr>
        <w:t>приймає суд не пізніше 72 годин.</w:t>
      </w:r>
    </w:p>
    <w:p w:rsidR="00902990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Передбачає для кривдника:</w:t>
      </w:r>
    </w:p>
    <w:p w:rsidR="00902990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заборону перебувати у місці спільного проживання (перебування);</w:t>
      </w:r>
    </w:p>
    <w:p w:rsidR="00902990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усунення перешкод у користуванн</w:t>
      </w:r>
      <w:r w:rsidR="00902990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майном потерпілою особою;</w:t>
      </w:r>
    </w:p>
    <w:p w:rsidR="00902990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обмеження спілкування з постраждалою дитиною;</w:t>
      </w:r>
    </w:p>
    <w:p w:rsidR="00902990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заборону наближатися на визначену відстань до місця</w:t>
      </w:r>
      <w:r w:rsidR="00902990">
        <w:rPr>
          <w:color w:val="000000"/>
          <w:sz w:val="28"/>
          <w:szCs w:val="28"/>
        </w:rPr>
        <w:t xml:space="preserve"> проживання </w:t>
      </w:r>
      <w:r>
        <w:rPr>
          <w:color w:val="000000"/>
          <w:sz w:val="28"/>
          <w:szCs w:val="28"/>
        </w:rPr>
        <w:t>(перебування), навчання, роботи, інших місц</w:t>
      </w:r>
      <w:r w:rsidR="00902990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відвідування постр</w:t>
      </w:r>
      <w:r w:rsidR="0090299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ждалої особи;</w:t>
      </w:r>
    </w:p>
    <w:p w:rsidR="00902990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заборону особисто і через третіх осіб розшукувати постраждалу особу, переслідувати її, спілкуватися з нею;</w:t>
      </w:r>
    </w:p>
    <w:p w:rsidR="00486C77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заборону вести листування, телефонні переговори з постраждалою особою.</w:t>
      </w:r>
    </w:p>
    <w:p w:rsidR="00486C77" w:rsidRDefault="00902990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Термін застосування –</w:t>
      </w:r>
      <w:r w:rsidR="00486C77">
        <w:rPr>
          <w:color w:val="000000"/>
          <w:sz w:val="28"/>
          <w:szCs w:val="28"/>
        </w:rPr>
        <w:t xml:space="preserve"> до 6 місяців.</w:t>
      </w:r>
    </w:p>
    <w:p w:rsidR="0036366E" w:rsidRDefault="00486C77" w:rsidP="00486C77">
      <w:pPr>
        <w:pStyle w:val="xfmc2"/>
        <w:shd w:val="clear" w:color="auto" w:fill="FFFFFF"/>
        <w:spacing w:before="0" w:beforeAutospacing="0" w:after="160" w:afterAutospacing="0" w:line="19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lastRenderedPageBreak/>
        <w:t>Не терпіть знущання та не будьте байдужим до страждань інших людей. Бережіть себе та своїх близьких.</w:t>
      </w:r>
    </w:p>
    <w:p w:rsidR="0036366E" w:rsidRPr="0036366E" w:rsidRDefault="0036366E" w:rsidP="0036366E">
      <w:pPr>
        <w:pStyle w:val="xfmc2"/>
        <w:shd w:val="clear" w:color="auto" w:fill="FFFFFF"/>
        <w:spacing w:before="0" w:beforeAutospacing="0" w:after="160" w:afterAutospacing="0" w:line="190" w:lineRule="atLeast"/>
        <w:jc w:val="right"/>
        <w:rPr>
          <w:i/>
          <w:color w:val="000000"/>
          <w:sz w:val="28"/>
          <w:szCs w:val="28"/>
        </w:rPr>
      </w:pPr>
      <w:bookmarkStart w:id="0" w:name="_GoBack"/>
      <w:r w:rsidRPr="0036366E">
        <w:rPr>
          <w:i/>
          <w:color w:val="000000"/>
          <w:sz w:val="28"/>
          <w:szCs w:val="28"/>
        </w:rPr>
        <w:t xml:space="preserve">Станіслав Куценко – </w:t>
      </w:r>
    </w:p>
    <w:p w:rsidR="0036366E" w:rsidRPr="0036366E" w:rsidRDefault="0036366E" w:rsidP="0036366E">
      <w:pPr>
        <w:pStyle w:val="xfmc2"/>
        <w:shd w:val="clear" w:color="auto" w:fill="FFFFFF"/>
        <w:spacing w:before="0" w:beforeAutospacing="0" w:after="160" w:afterAutospacing="0" w:line="190" w:lineRule="atLeast"/>
        <w:jc w:val="right"/>
        <w:rPr>
          <w:i/>
          <w:color w:val="000000"/>
          <w:sz w:val="28"/>
          <w:szCs w:val="28"/>
        </w:rPr>
      </w:pPr>
      <w:r w:rsidRPr="0036366E">
        <w:rPr>
          <w:i/>
          <w:color w:val="000000"/>
          <w:sz w:val="28"/>
          <w:szCs w:val="28"/>
        </w:rPr>
        <w:t>очільник столичної юстиції</w:t>
      </w:r>
    </w:p>
    <w:bookmarkEnd w:id="0"/>
    <w:p w:rsidR="00E62551" w:rsidRDefault="00E62551"/>
    <w:sectPr w:rsidR="00E625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77"/>
    <w:rsid w:val="0036366E"/>
    <w:rsid w:val="00486C77"/>
    <w:rsid w:val="00902990"/>
    <w:rsid w:val="00A9281E"/>
    <w:rsid w:val="00E62551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5133C-EDF4-4A8B-8D2F-C5EB47A2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2">
    <w:name w:val="xfmc2"/>
    <w:basedOn w:val="a"/>
    <w:rsid w:val="0048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2</cp:revision>
  <dcterms:created xsi:type="dcterms:W3CDTF">2019-05-20T09:47:00Z</dcterms:created>
  <dcterms:modified xsi:type="dcterms:W3CDTF">2019-05-20T09:47:00Z</dcterms:modified>
</cp:coreProperties>
</file>