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99" w:rsidRDefault="008D6099" w:rsidP="008D6099">
      <w:pPr>
        <w:shd w:val="clear" w:color="auto" w:fill="FFFFFF"/>
        <w:spacing w:after="0" w:line="240" w:lineRule="auto"/>
        <w:ind w:firstLine="708"/>
        <w:jc w:val="center"/>
        <w:rPr>
          <w:rStyle w:val="a7"/>
          <w:rFonts w:ascii="Times New Roman" w:hAnsi="Times New Roman" w:cs="Times New Roman"/>
          <w:i/>
          <w:iCs/>
          <w:color w:val="000000"/>
          <w:sz w:val="28"/>
          <w:szCs w:val="28"/>
          <w:shd w:val="clear" w:color="auto" w:fill="FFFFFF"/>
        </w:rPr>
      </w:pPr>
      <w:r>
        <w:rPr>
          <w:rStyle w:val="a7"/>
          <w:rFonts w:ascii="Times New Roman" w:hAnsi="Times New Roman" w:cs="Times New Roman"/>
          <w:i/>
          <w:iCs/>
          <w:color w:val="000000"/>
          <w:sz w:val="28"/>
          <w:szCs w:val="28"/>
          <w:shd w:val="clear" w:color="auto" w:fill="FFFFFF"/>
        </w:rPr>
        <w:t>Право кожного на інформацію</w:t>
      </w:r>
    </w:p>
    <w:p w:rsidR="008D6099" w:rsidRDefault="008D6099" w:rsidP="008D6099">
      <w:pPr>
        <w:shd w:val="clear" w:color="auto" w:fill="FFFFFF"/>
        <w:spacing w:after="0" w:line="240" w:lineRule="auto"/>
        <w:ind w:firstLine="708"/>
        <w:jc w:val="center"/>
        <w:rPr>
          <w:rStyle w:val="a7"/>
          <w:rFonts w:ascii="Times New Roman" w:hAnsi="Times New Roman" w:cs="Times New Roman"/>
          <w:i/>
          <w:iCs/>
          <w:color w:val="000000"/>
          <w:sz w:val="28"/>
          <w:szCs w:val="28"/>
          <w:shd w:val="clear" w:color="auto" w:fill="FFFFFF"/>
        </w:rPr>
      </w:pPr>
    </w:p>
    <w:p w:rsidR="001E17EA" w:rsidRPr="008D6099" w:rsidRDefault="001E17EA" w:rsidP="00E87E25">
      <w:pPr>
        <w:shd w:val="clear" w:color="auto" w:fill="FFFFFF"/>
        <w:spacing w:after="0" w:line="240" w:lineRule="auto"/>
        <w:ind w:firstLine="708"/>
        <w:jc w:val="both"/>
        <w:rPr>
          <w:rStyle w:val="a7"/>
          <w:rFonts w:ascii="Times New Roman" w:hAnsi="Times New Roman" w:cs="Times New Roman"/>
          <w:b w:val="0"/>
          <w:iCs/>
          <w:color w:val="000000"/>
          <w:sz w:val="28"/>
          <w:szCs w:val="28"/>
          <w:shd w:val="clear" w:color="auto" w:fill="FFFFFF"/>
        </w:rPr>
      </w:pPr>
      <w:r w:rsidRPr="008D6099">
        <w:rPr>
          <w:rStyle w:val="a7"/>
          <w:rFonts w:ascii="Times New Roman" w:hAnsi="Times New Roman" w:cs="Times New Roman"/>
          <w:b w:val="0"/>
          <w:iCs/>
          <w:color w:val="000000"/>
          <w:sz w:val="28"/>
          <w:szCs w:val="28"/>
          <w:shd w:val="clear" w:color="auto" w:fill="FFFFFF"/>
        </w:rPr>
        <w:t>Роз'яснення щодо порядку розгляду звернень громадян, а саме: які обставини законодавством віднесено до таких, що потребують додаткового вивчення під час розгляду звернення та  щодо розгляду скарг про порушення законодавства про звернення громадян.</w:t>
      </w:r>
      <w:bookmarkStart w:id="0" w:name="_GoBack"/>
      <w:bookmarkEnd w:id="0"/>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Відповідно до ч.1 ст. 20 Закону України “Про звернення громадян”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w:t>
      </w:r>
      <w:r>
        <w:rPr>
          <w:rFonts w:ascii="Times New Roman" w:eastAsia="Times New Roman" w:hAnsi="Times New Roman" w:cs="Times New Roman"/>
          <w:color w:val="000000"/>
          <w:sz w:val="28"/>
          <w:szCs w:val="28"/>
          <w:lang w:eastAsia="uk-UA"/>
        </w:rPr>
        <w:t xml:space="preserve"> дня їх отримання.</w:t>
      </w:r>
      <w:r w:rsidRPr="00E87E25">
        <w:rPr>
          <w:rFonts w:ascii="Times New Roman" w:eastAsia="Times New Roman" w:hAnsi="Times New Roman" w:cs="Times New Roman"/>
          <w:color w:val="000000"/>
          <w:sz w:val="28"/>
          <w:szCs w:val="28"/>
          <w:lang w:eastAsia="uk-UA"/>
        </w:rPr>
        <w:t> </w:t>
      </w:r>
      <w:r w:rsidR="002F3332">
        <w:rPr>
          <w:rFonts w:ascii="Times New Roman" w:hAnsi="Times New Roman" w:cs="Times New Roman"/>
          <w:color w:val="000000"/>
          <w:sz w:val="28"/>
          <w:szCs w:val="28"/>
          <w:shd w:val="clear" w:color="auto" w:fill="FFFFFF"/>
        </w:rPr>
        <w:t>Я</w:t>
      </w:r>
      <w:r w:rsidR="002F3332" w:rsidRPr="00A72FD0">
        <w:rPr>
          <w:rFonts w:ascii="Times New Roman" w:hAnsi="Times New Roman" w:cs="Times New Roman"/>
          <w:color w:val="000000"/>
          <w:sz w:val="28"/>
          <w:szCs w:val="28"/>
          <w:shd w:val="clear" w:color="auto" w:fill="FFFFFF"/>
        </w:rPr>
        <w:t>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r w:rsidR="002F3332">
        <w:rPr>
          <w:rFonts w:ascii="Times New Roman" w:hAnsi="Times New Roman" w:cs="Times New Roman"/>
          <w:color w:val="000000"/>
          <w:sz w:val="28"/>
          <w:szCs w:val="28"/>
          <w:shd w:val="clear" w:color="auto" w:fill="FFFFFF"/>
        </w:rPr>
        <w:t xml:space="preserve"> </w:t>
      </w:r>
      <w:r w:rsidRPr="00E87E25">
        <w:rPr>
          <w:rFonts w:ascii="Times New Roman" w:eastAsia="Times New Roman" w:hAnsi="Times New Roman" w:cs="Times New Roman"/>
          <w:color w:val="000000"/>
          <w:sz w:val="28"/>
          <w:szCs w:val="28"/>
          <w:lang w:eastAsia="uk-UA"/>
        </w:rPr>
        <w:t>Однак, законодавством не передбачено перелік обставин, що потребують додаткового вивчення під час розгляду звернення громадянина. </w:t>
      </w:r>
      <w:r w:rsidR="00A72FD0" w:rsidRPr="00A72FD0">
        <w:rPr>
          <w:rFonts w:ascii="Times New Roman" w:eastAsia="Times New Roman" w:hAnsi="Times New Roman" w:cs="Times New Roman"/>
          <w:color w:val="000000"/>
          <w:sz w:val="28"/>
          <w:szCs w:val="28"/>
          <w:lang w:eastAsia="uk-UA"/>
        </w:rPr>
        <w:t xml:space="preserve"> </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Працівник органу державної влади, органу місцевого самоврядування, підприємства, установи, організації, до якої громадянин звернувся з письмовою заявою, та на якого керівництвом покладено обов'язок по розгляду даної заяви, враховуючи норми законодавства, інструкцію з діловодства за зверненнями громадян, з урахуванням об'єму запитуваної інформації визначає чи потребує дане звернення додаткового вивчення. </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Громадянин, користуючись своїм правом на ознайомлення з матеріалами перевірки провадження за зверненням громадян, може звернутись до органу, установи або організації до якої він подавав свою заяву (скаргу, пропозицію). Більш ефективним інструментом для реалізації даного права може бути запис на особистий прийом до керівника органу, установи або організації, в якому на розгляді перебуває звернення громадянина. </w:t>
      </w:r>
    </w:p>
    <w:p w:rsid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Відповідно до ст. 22 ЗУ “Про звернення громадян” прийом громадян керівництвом проводиться регулярно у встановлені дні та години, у зручний для громадян час, за місцем їх роботи і проживання. Графіки прийому доводяться до відома громадян. </w:t>
      </w:r>
    </w:p>
    <w:p w:rsidR="00A72FD0" w:rsidRPr="00A72FD0" w:rsidRDefault="00A72FD0" w:rsidP="002F3332">
      <w:pPr>
        <w:pStyle w:val="rvps2"/>
        <w:shd w:val="clear" w:color="auto" w:fill="FFFFFF"/>
        <w:spacing w:before="0" w:beforeAutospacing="0" w:after="0" w:afterAutospacing="0"/>
        <w:ind w:firstLine="708"/>
        <w:jc w:val="both"/>
        <w:rPr>
          <w:color w:val="000000"/>
          <w:sz w:val="28"/>
          <w:szCs w:val="28"/>
        </w:rPr>
      </w:pPr>
      <w:r w:rsidRPr="00A72FD0">
        <w:rPr>
          <w:color w:val="000000"/>
          <w:sz w:val="28"/>
          <w:szCs w:val="28"/>
        </w:rPr>
        <w:t>Також</w:t>
      </w:r>
      <w:r w:rsidR="002F3332">
        <w:rPr>
          <w:color w:val="000000"/>
          <w:sz w:val="28"/>
          <w:szCs w:val="28"/>
        </w:rPr>
        <w:t>,</w:t>
      </w:r>
      <w:r w:rsidRPr="00A72FD0">
        <w:rPr>
          <w:color w:val="000000"/>
          <w:sz w:val="28"/>
          <w:szCs w:val="28"/>
        </w:rPr>
        <w:t xml:space="preserve"> ст. 5</w:t>
      </w:r>
      <w:r w:rsidR="002F3332" w:rsidRPr="00E87E25">
        <w:rPr>
          <w:color w:val="000000"/>
          <w:sz w:val="28"/>
          <w:szCs w:val="28"/>
        </w:rPr>
        <w:t xml:space="preserve"> ЗУ “Про звернення громадян”</w:t>
      </w:r>
      <w:r w:rsidRPr="00A72FD0">
        <w:rPr>
          <w:color w:val="000000"/>
          <w:sz w:val="28"/>
          <w:szCs w:val="28"/>
        </w:rPr>
        <w:t xml:space="preserve"> визначено, що </w:t>
      </w:r>
      <w:r w:rsidR="002F3332">
        <w:rPr>
          <w:color w:val="000000"/>
          <w:sz w:val="28"/>
          <w:szCs w:val="28"/>
        </w:rPr>
        <w:t>у</w:t>
      </w:r>
      <w:r w:rsidRPr="00A72FD0">
        <w:rPr>
          <w:color w:val="000000"/>
          <w:sz w:val="28"/>
          <w:szCs w:val="28"/>
        </w:rPr>
        <w:t xml:space="preserve">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A72FD0" w:rsidRPr="00E87E25" w:rsidRDefault="00A72FD0" w:rsidP="002F3332">
      <w:pPr>
        <w:pStyle w:val="rvps2"/>
        <w:shd w:val="clear" w:color="auto" w:fill="FFFFFF"/>
        <w:spacing w:before="0" w:beforeAutospacing="0" w:after="0" w:afterAutospacing="0"/>
        <w:ind w:firstLine="708"/>
        <w:jc w:val="both"/>
        <w:rPr>
          <w:color w:val="000000"/>
          <w:sz w:val="28"/>
          <w:szCs w:val="28"/>
        </w:rPr>
      </w:pPr>
      <w:bookmarkStart w:id="1" w:name="n141"/>
      <w:bookmarkEnd w:id="1"/>
      <w:r w:rsidRPr="00A72FD0">
        <w:rPr>
          <w:color w:val="000000"/>
          <w:sz w:val="28"/>
          <w:szCs w:val="28"/>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r w:rsidR="002F3332">
        <w:rPr>
          <w:color w:val="000000"/>
          <w:sz w:val="28"/>
          <w:szCs w:val="28"/>
        </w:rPr>
        <w:t>.</w:t>
      </w:r>
    </w:p>
    <w:p w:rsidR="00E87E25" w:rsidRPr="00E87E25" w:rsidRDefault="00E87E25" w:rsidP="00A72FD0">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 xml:space="preserve">Статтею 16 ЗУ “Про звернення громадян” передбачено, що скарга на дії чи рішення органу державної влади, органу місцевого самоврядування, </w:t>
      </w:r>
      <w:r w:rsidRPr="00E87E25">
        <w:rPr>
          <w:rFonts w:ascii="Times New Roman" w:eastAsia="Times New Roman" w:hAnsi="Times New Roman" w:cs="Times New Roman"/>
          <w:color w:val="000000"/>
          <w:sz w:val="28"/>
          <w:szCs w:val="28"/>
          <w:lang w:eastAsia="uk-UA"/>
        </w:rPr>
        <w:lastRenderedPageBreak/>
        <w:t>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 </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E87E25">
        <w:rPr>
          <w:rFonts w:ascii="Times New Roman" w:eastAsia="Times New Roman" w:hAnsi="Times New Roman" w:cs="Times New Roman"/>
          <w:color w:val="000000"/>
          <w:sz w:val="28"/>
          <w:szCs w:val="28"/>
          <w:lang w:eastAsia="uk-UA"/>
        </w:rPr>
        <w:t>орядок підлеглості визначається відповідно до так званої вертикальної системи підпорядкування органів державно влади, органів місцевого самоврядування, підприємств, установ, організацій, об'єднань громадян та засобів масової інформації. Предметом оскарження можуть бути як колегіальні, так і одноособові рішення, дії чи бездіяльність суб'єктів оскарження.</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Відповідно до ст. 24 ЗУ “Про звернення громадян” особи, винні у порушенні цього Закону, несуть цивільну, адміністративну або кримінальну відповідальність, передбачену законодавством України.</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П. 22 ч. 1 ст. 92 Конституції України передбачено, що відповідальність за діяння, визнані злочинами, адміністративними і дисциплінарними правопорушеннями, встановлюється виключно законами. </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У коментарі до ст. 24 ЗУ “Про звернення громадян” роз'яснено, що до відповідальності може бути притягнутий орган або посадова особа, які приймали рішення щодо звернення громадянина, а також громадянин, який подав звернення. </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Посадові особи за порушення законодавства про звернення громадян можуть бути притягнуті до дисциплінарної відповідальності.  Ця відповідальність полягає у застосуванні до таких осіб дисциплінарних стягнень.</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Порядок та умови застосування таких стягнень регулюються главою Х Кодексу  законів про працю.</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Особи, що порушили законодавство про звернення громадян, можуть бути притягнуті до цивільної відповідальності судом, в порядку цивільного судочинства.</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За порушення законодавства про звернення громадян посадовими особами чи заявником, скоєні під час розгляду звернень або здійснення особистого прийому громадян, визнані законодавством суспільно небезпечними, встановлена кримінальна відповідальність. Досудове слідство проводиться органами та посадовими особами, визначеними у ст.38 Кримінального процесуального кодексу України. Так, ч. 1 цієї статті передбачено, що органами досудового розслідування (органами, що здійснюють дізнання і досудове слідство) є:</w:t>
      </w:r>
    </w:p>
    <w:p w:rsidR="00E87E25" w:rsidRPr="00E87E25" w:rsidRDefault="00E87E25" w:rsidP="00E87E2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1) слідчі підрозділи:</w:t>
      </w:r>
    </w:p>
    <w:p w:rsidR="00E87E25" w:rsidRPr="00E87E25" w:rsidRDefault="00E87E25" w:rsidP="00E87E2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а) органів Національної поліції;</w:t>
      </w:r>
    </w:p>
    <w:p w:rsidR="00E87E25" w:rsidRPr="00E87E25" w:rsidRDefault="00E87E25" w:rsidP="00E87E2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б) органів безпеки;</w:t>
      </w:r>
    </w:p>
    <w:p w:rsidR="00E87E25" w:rsidRPr="00E87E25" w:rsidRDefault="00E87E25" w:rsidP="00E87E2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в) органів, що здійснюють контроль за додержанням податкового законодавства;</w:t>
      </w:r>
    </w:p>
    <w:p w:rsidR="00E87E25" w:rsidRPr="00E87E25" w:rsidRDefault="00E87E25" w:rsidP="00E87E2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г) органів державного бюро розслідувань;</w:t>
      </w:r>
    </w:p>
    <w:p w:rsidR="00E87E25" w:rsidRPr="00E87E25" w:rsidRDefault="00E87E25" w:rsidP="00E87E2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ґ) органів Державної кримінально-виконавчої служби України;</w:t>
      </w:r>
    </w:p>
    <w:p w:rsidR="00E87E25" w:rsidRPr="00E87E25" w:rsidRDefault="00E87E25" w:rsidP="00E87E2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2) підрозділ детективів, підрозділ внутрішнього контролю Національного антикорупційного бюро України. </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lastRenderedPageBreak/>
        <w:t>Норми, що встановлюють адміністративну відповідальність за порушення законодавства про звернення громадян містяться у Кодексі України про адміністративні правопорушення (далі — КУпАП).</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 У ст. 254 КУпАП вказано, що про вчинення адміністративного правопорушення складається протокол уповноваженою на те посадовою особою або представником громадської організації.</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Відповідно до ст. 255 КУпАП  протоколи про незаконну відмову у прийнятті та розгляді звернення, інше порушення ЗУ “Про звернення громадян” можуть скласти уповноважені особи секретаріату Уповноваженого Верховної Ради України з прав людини або представники Уповноваженого Верховної Ради України з прав людини; у частині, що стосується порушення права на інформацію відповідно до Закону України "Про адвока</w:t>
      </w:r>
      <w:r w:rsidR="00955958">
        <w:rPr>
          <w:rFonts w:ascii="Times New Roman" w:eastAsia="Times New Roman" w:hAnsi="Times New Roman" w:cs="Times New Roman"/>
          <w:color w:val="000000"/>
          <w:sz w:val="28"/>
          <w:szCs w:val="28"/>
          <w:lang w:eastAsia="uk-UA"/>
        </w:rPr>
        <w:t xml:space="preserve">туру та адвокатську діяльність" </w:t>
      </w:r>
      <w:r w:rsidRPr="00E87E25">
        <w:rPr>
          <w:rFonts w:ascii="Times New Roman" w:eastAsia="Times New Roman" w:hAnsi="Times New Roman" w:cs="Times New Roman"/>
          <w:color w:val="000000"/>
          <w:sz w:val="28"/>
          <w:szCs w:val="28"/>
          <w:lang w:eastAsia="uk-UA"/>
        </w:rPr>
        <w:t>протокол про адміністративне правопорушення складає голова ради адвокатів Автономної Республіки Крим, областей, міст Києва та Севастополя або уповноважений радою член ради адвокатів.</w:t>
      </w:r>
    </w:p>
    <w:p w:rsidR="00E87E25" w:rsidRPr="00E87E25" w:rsidRDefault="00E87E25" w:rsidP="00E87E2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E87E25">
        <w:rPr>
          <w:rFonts w:ascii="Times New Roman" w:eastAsia="Times New Roman" w:hAnsi="Times New Roman" w:cs="Times New Roman"/>
          <w:color w:val="000000"/>
          <w:sz w:val="28"/>
          <w:szCs w:val="28"/>
          <w:lang w:eastAsia="uk-UA"/>
        </w:rPr>
        <w:t>Справи про адміністративні правопорушення, передбачені ст. 212-3 КУпАП, розглядають судді районних, районних у місті, міських чи міськрайонних судів (ст. 221 КУпАП).</w:t>
      </w:r>
    </w:p>
    <w:p w:rsidR="00A84874" w:rsidRPr="00605F71" w:rsidRDefault="00A84874" w:rsidP="00E87E25">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p>
    <w:p w:rsidR="00605F71" w:rsidRPr="008D6099" w:rsidRDefault="00605F71" w:rsidP="00E87E25">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p>
    <w:p w:rsidR="00605F71" w:rsidRPr="008D6099" w:rsidRDefault="00605F71" w:rsidP="00605F71">
      <w:pPr>
        <w:spacing w:after="0" w:line="230" w:lineRule="auto"/>
        <w:jc w:val="both"/>
        <w:rPr>
          <w:rFonts w:ascii="Times New Roman" w:hAnsi="Times New Roman" w:cs="Times New Roman"/>
          <w:sz w:val="28"/>
          <w:szCs w:val="28"/>
          <w:lang w:val="ru-RU"/>
        </w:rPr>
      </w:pPr>
    </w:p>
    <w:sectPr w:rsidR="00605F71" w:rsidRPr="008D609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F4" w:rsidRDefault="006C60F4" w:rsidP="00E87E25">
      <w:pPr>
        <w:spacing w:after="0" w:line="240" w:lineRule="auto"/>
      </w:pPr>
      <w:r>
        <w:separator/>
      </w:r>
    </w:p>
  </w:endnote>
  <w:endnote w:type="continuationSeparator" w:id="0">
    <w:p w:rsidR="006C60F4" w:rsidRDefault="006C60F4" w:rsidP="00E8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F4" w:rsidRDefault="006C60F4" w:rsidP="00E87E25">
      <w:pPr>
        <w:spacing w:after="0" w:line="240" w:lineRule="auto"/>
      </w:pPr>
      <w:r>
        <w:separator/>
      </w:r>
    </w:p>
  </w:footnote>
  <w:footnote w:type="continuationSeparator" w:id="0">
    <w:p w:rsidR="006C60F4" w:rsidRDefault="006C60F4" w:rsidP="00E87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3B"/>
    <w:rsid w:val="001E17EA"/>
    <w:rsid w:val="002F3332"/>
    <w:rsid w:val="00311612"/>
    <w:rsid w:val="00605F71"/>
    <w:rsid w:val="00670D3B"/>
    <w:rsid w:val="006C60F4"/>
    <w:rsid w:val="007A00F4"/>
    <w:rsid w:val="00827B87"/>
    <w:rsid w:val="008D6099"/>
    <w:rsid w:val="00955958"/>
    <w:rsid w:val="00A72FD0"/>
    <w:rsid w:val="00A84874"/>
    <w:rsid w:val="00D94C6A"/>
    <w:rsid w:val="00E87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CCA8E-9684-4B74-BB1A-4904CD0C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E2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87E25"/>
  </w:style>
  <w:style w:type="paragraph" w:styleId="a5">
    <w:name w:val="footer"/>
    <w:basedOn w:val="a"/>
    <w:link w:val="a6"/>
    <w:uiPriority w:val="99"/>
    <w:unhideWhenUsed/>
    <w:rsid w:val="00E87E2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87E25"/>
  </w:style>
  <w:style w:type="paragraph" w:customStyle="1" w:styleId="rvps2">
    <w:name w:val="rvps2"/>
    <w:basedOn w:val="a"/>
    <w:rsid w:val="00A72F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1E1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444203">
      <w:bodyDiv w:val="1"/>
      <w:marLeft w:val="0"/>
      <w:marRight w:val="0"/>
      <w:marTop w:val="0"/>
      <w:marBottom w:val="0"/>
      <w:divBdr>
        <w:top w:val="none" w:sz="0" w:space="0" w:color="auto"/>
        <w:left w:val="none" w:sz="0" w:space="0" w:color="auto"/>
        <w:bottom w:val="none" w:sz="0" w:space="0" w:color="auto"/>
        <w:right w:val="none" w:sz="0" w:space="0" w:color="auto"/>
      </w:divBdr>
      <w:divsChild>
        <w:div w:id="1680501853">
          <w:marLeft w:val="0"/>
          <w:marRight w:val="0"/>
          <w:marTop w:val="0"/>
          <w:marBottom w:val="0"/>
          <w:divBdr>
            <w:top w:val="none" w:sz="0" w:space="0" w:color="auto"/>
            <w:left w:val="none" w:sz="0" w:space="0" w:color="auto"/>
            <w:bottom w:val="none" w:sz="0" w:space="0" w:color="auto"/>
            <w:right w:val="none" w:sz="0" w:space="0" w:color="auto"/>
          </w:divBdr>
        </w:div>
        <w:div w:id="1693921352">
          <w:marLeft w:val="0"/>
          <w:marRight w:val="0"/>
          <w:marTop w:val="0"/>
          <w:marBottom w:val="0"/>
          <w:divBdr>
            <w:top w:val="none" w:sz="0" w:space="0" w:color="auto"/>
            <w:left w:val="none" w:sz="0" w:space="0" w:color="auto"/>
            <w:bottom w:val="none" w:sz="0" w:space="0" w:color="auto"/>
            <w:right w:val="none" w:sz="0" w:space="0" w:color="auto"/>
          </w:divBdr>
        </w:div>
        <w:div w:id="1506093290">
          <w:marLeft w:val="0"/>
          <w:marRight w:val="0"/>
          <w:marTop w:val="0"/>
          <w:marBottom w:val="0"/>
          <w:divBdr>
            <w:top w:val="none" w:sz="0" w:space="0" w:color="auto"/>
            <w:left w:val="none" w:sz="0" w:space="0" w:color="auto"/>
            <w:bottom w:val="none" w:sz="0" w:space="0" w:color="auto"/>
            <w:right w:val="none" w:sz="0" w:space="0" w:color="auto"/>
          </w:divBdr>
        </w:div>
        <w:div w:id="852452129">
          <w:marLeft w:val="0"/>
          <w:marRight w:val="0"/>
          <w:marTop w:val="0"/>
          <w:marBottom w:val="0"/>
          <w:divBdr>
            <w:top w:val="none" w:sz="0" w:space="0" w:color="auto"/>
            <w:left w:val="none" w:sz="0" w:space="0" w:color="auto"/>
            <w:bottom w:val="none" w:sz="0" w:space="0" w:color="auto"/>
            <w:right w:val="none" w:sz="0" w:space="0" w:color="auto"/>
          </w:divBdr>
        </w:div>
        <w:div w:id="188110128">
          <w:marLeft w:val="0"/>
          <w:marRight w:val="0"/>
          <w:marTop w:val="0"/>
          <w:marBottom w:val="0"/>
          <w:divBdr>
            <w:top w:val="none" w:sz="0" w:space="0" w:color="auto"/>
            <w:left w:val="none" w:sz="0" w:space="0" w:color="auto"/>
            <w:bottom w:val="none" w:sz="0" w:space="0" w:color="auto"/>
            <w:right w:val="none" w:sz="0" w:space="0" w:color="auto"/>
          </w:divBdr>
        </w:div>
        <w:div w:id="899828241">
          <w:marLeft w:val="0"/>
          <w:marRight w:val="0"/>
          <w:marTop w:val="0"/>
          <w:marBottom w:val="0"/>
          <w:divBdr>
            <w:top w:val="none" w:sz="0" w:space="0" w:color="auto"/>
            <w:left w:val="none" w:sz="0" w:space="0" w:color="auto"/>
            <w:bottom w:val="none" w:sz="0" w:space="0" w:color="auto"/>
            <w:right w:val="none" w:sz="0" w:space="0" w:color="auto"/>
          </w:divBdr>
        </w:div>
        <w:div w:id="171264686">
          <w:marLeft w:val="0"/>
          <w:marRight w:val="0"/>
          <w:marTop w:val="0"/>
          <w:marBottom w:val="0"/>
          <w:divBdr>
            <w:top w:val="none" w:sz="0" w:space="0" w:color="auto"/>
            <w:left w:val="none" w:sz="0" w:space="0" w:color="auto"/>
            <w:bottom w:val="none" w:sz="0" w:space="0" w:color="auto"/>
            <w:right w:val="none" w:sz="0" w:space="0" w:color="auto"/>
          </w:divBdr>
        </w:div>
        <w:div w:id="103229548">
          <w:marLeft w:val="0"/>
          <w:marRight w:val="0"/>
          <w:marTop w:val="0"/>
          <w:marBottom w:val="0"/>
          <w:divBdr>
            <w:top w:val="none" w:sz="0" w:space="0" w:color="auto"/>
            <w:left w:val="none" w:sz="0" w:space="0" w:color="auto"/>
            <w:bottom w:val="none" w:sz="0" w:space="0" w:color="auto"/>
            <w:right w:val="none" w:sz="0" w:space="0" w:color="auto"/>
          </w:divBdr>
        </w:div>
        <w:div w:id="1084228130">
          <w:marLeft w:val="0"/>
          <w:marRight w:val="0"/>
          <w:marTop w:val="0"/>
          <w:marBottom w:val="0"/>
          <w:divBdr>
            <w:top w:val="none" w:sz="0" w:space="0" w:color="auto"/>
            <w:left w:val="none" w:sz="0" w:space="0" w:color="auto"/>
            <w:bottom w:val="none" w:sz="0" w:space="0" w:color="auto"/>
            <w:right w:val="none" w:sz="0" w:space="0" w:color="auto"/>
          </w:divBdr>
        </w:div>
        <w:div w:id="1796829734">
          <w:marLeft w:val="0"/>
          <w:marRight w:val="0"/>
          <w:marTop w:val="0"/>
          <w:marBottom w:val="0"/>
          <w:divBdr>
            <w:top w:val="none" w:sz="0" w:space="0" w:color="auto"/>
            <w:left w:val="none" w:sz="0" w:space="0" w:color="auto"/>
            <w:bottom w:val="none" w:sz="0" w:space="0" w:color="auto"/>
            <w:right w:val="none" w:sz="0" w:space="0" w:color="auto"/>
          </w:divBdr>
        </w:div>
        <w:div w:id="1087574461">
          <w:marLeft w:val="0"/>
          <w:marRight w:val="0"/>
          <w:marTop w:val="0"/>
          <w:marBottom w:val="0"/>
          <w:divBdr>
            <w:top w:val="none" w:sz="0" w:space="0" w:color="auto"/>
            <w:left w:val="none" w:sz="0" w:space="0" w:color="auto"/>
            <w:bottom w:val="none" w:sz="0" w:space="0" w:color="auto"/>
            <w:right w:val="none" w:sz="0" w:space="0" w:color="auto"/>
          </w:divBdr>
        </w:div>
        <w:div w:id="475024738">
          <w:marLeft w:val="0"/>
          <w:marRight w:val="0"/>
          <w:marTop w:val="0"/>
          <w:marBottom w:val="0"/>
          <w:divBdr>
            <w:top w:val="none" w:sz="0" w:space="0" w:color="auto"/>
            <w:left w:val="none" w:sz="0" w:space="0" w:color="auto"/>
            <w:bottom w:val="none" w:sz="0" w:space="0" w:color="auto"/>
            <w:right w:val="none" w:sz="0" w:space="0" w:color="auto"/>
          </w:divBdr>
        </w:div>
        <w:div w:id="1078795691">
          <w:marLeft w:val="0"/>
          <w:marRight w:val="0"/>
          <w:marTop w:val="0"/>
          <w:marBottom w:val="0"/>
          <w:divBdr>
            <w:top w:val="none" w:sz="0" w:space="0" w:color="auto"/>
            <w:left w:val="none" w:sz="0" w:space="0" w:color="auto"/>
            <w:bottom w:val="none" w:sz="0" w:space="0" w:color="auto"/>
            <w:right w:val="none" w:sz="0" w:space="0" w:color="auto"/>
          </w:divBdr>
        </w:div>
        <w:div w:id="1203786711">
          <w:marLeft w:val="0"/>
          <w:marRight w:val="0"/>
          <w:marTop w:val="0"/>
          <w:marBottom w:val="0"/>
          <w:divBdr>
            <w:top w:val="none" w:sz="0" w:space="0" w:color="auto"/>
            <w:left w:val="none" w:sz="0" w:space="0" w:color="auto"/>
            <w:bottom w:val="none" w:sz="0" w:space="0" w:color="auto"/>
            <w:right w:val="none" w:sz="0" w:space="0" w:color="auto"/>
          </w:divBdr>
        </w:div>
        <w:div w:id="1840079607">
          <w:marLeft w:val="0"/>
          <w:marRight w:val="0"/>
          <w:marTop w:val="0"/>
          <w:marBottom w:val="0"/>
          <w:divBdr>
            <w:top w:val="none" w:sz="0" w:space="0" w:color="auto"/>
            <w:left w:val="none" w:sz="0" w:space="0" w:color="auto"/>
            <w:bottom w:val="none" w:sz="0" w:space="0" w:color="auto"/>
            <w:right w:val="none" w:sz="0" w:space="0" w:color="auto"/>
          </w:divBdr>
        </w:div>
        <w:div w:id="837114959">
          <w:marLeft w:val="0"/>
          <w:marRight w:val="0"/>
          <w:marTop w:val="0"/>
          <w:marBottom w:val="0"/>
          <w:divBdr>
            <w:top w:val="none" w:sz="0" w:space="0" w:color="auto"/>
            <w:left w:val="none" w:sz="0" w:space="0" w:color="auto"/>
            <w:bottom w:val="none" w:sz="0" w:space="0" w:color="auto"/>
            <w:right w:val="none" w:sz="0" w:space="0" w:color="auto"/>
          </w:divBdr>
        </w:div>
        <w:div w:id="1711177011">
          <w:marLeft w:val="0"/>
          <w:marRight w:val="0"/>
          <w:marTop w:val="0"/>
          <w:marBottom w:val="0"/>
          <w:divBdr>
            <w:top w:val="none" w:sz="0" w:space="0" w:color="auto"/>
            <w:left w:val="none" w:sz="0" w:space="0" w:color="auto"/>
            <w:bottom w:val="none" w:sz="0" w:space="0" w:color="auto"/>
            <w:right w:val="none" w:sz="0" w:space="0" w:color="auto"/>
          </w:divBdr>
        </w:div>
        <w:div w:id="863324201">
          <w:marLeft w:val="0"/>
          <w:marRight w:val="0"/>
          <w:marTop w:val="0"/>
          <w:marBottom w:val="0"/>
          <w:divBdr>
            <w:top w:val="none" w:sz="0" w:space="0" w:color="auto"/>
            <w:left w:val="none" w:sz="0" w:space="0" w:color="auto"/>
            <w:bottom w:val="none" w:sz="0" w:space="0" w:color="auto"/>
            <w:right w:val="none" w:sz="0" w:space="0" w:color="auto"/>
          </w:divBdr>
        </w:div>
        <w:div w:id="1830246596">
          <w:marLeft w:val="0"/>
          <w:marRight w:val="0"/>
          <w:marTop w:val="0"/>
          <w:marBottom w:val="0"/>
          <w:divBdr>
            <w:top w:val="none" w:sz="0" w:space="0" w:color="auto"/>
            <w:left w:val="none" w:sz="0" w:space="0" w:color="auto"/>
            <w:bottom w:val="none" w:sz="0" w:space="0" w:color="auto"/>
            <w:right w:val="none" w:sz="0" w:space="0" w:color="auto"/>
          </w:divBdr>
        </w:div>
        <w:div w:id="1972392995">
          <w:marLeft w:val="0"/>
          <w:marRight w:val="0"/>
          <w:marTop w:val="0"/>
          <w:marBottom w:val="0"/>
          <w:divBdr>
            <w:top w:val="none" w:sz="0" w:space="0" w:color="auto"/>
            <w:left w:val="none" w:sz="0" w:space="0" w:color="auto"/>
            <w:bottom w:val="none" w:sz="0" w:space="0" w:color="auto"/>
            <w:right w:val="none" w:sz="0" w:space="0" w:color="auto"/>
          </w:divBdr>
        </w:div>
        <w:div w:id="1949771218">
          <w:marLeft w:val="0"/>
          <w:marRight w:val="0"/>
          <w:marTop w:val="0"/>
          <w:marBottom w:val="0"/>
          <w:divBdr>
            <w:top w:val="none" w:sz="0" w:space="0" w:color="auto"/>
            <w:left w:val="none" w:sz="0" w:space="0" w:color="auto"/>
            <w:bottom w:val="none" w:sz="0" w:space="0" w:color="auto"/>
            <w:right w:val="none" w:sz="0" w:space="0" w:color="auto"/>
          </w:divBdr>
        </w:div>
        <w:div w:id="1887329853">
          <w:marLeft w:val="0"/>
          <w:marRight w:val="0"/>
          <w:marTop w:val="0"/>
          <w:marBottom w:val="0"/>
          <w:divBdr>
            <w:top w:val="none" w:sz="0" w:space="0" w:color="auto"/>
            <w:left w:val="none" w:sz="0" w:space="0" w:color="auto"/>
            <w:bottom w:val="none" w:sz="0" w:space="0" w:color="auto"/>
            <w:right w:val="none" w:sz="0" w:space="0" w:color="auto"/>
          </w:divBdr>
        </w:div>
        <w:div w:id="2130320014">
          <w:marLeft w:val="0"/>
          <w:marRight w:val="0"/>
          <w:marTop w:val="0"/>
          <w:marBottom w:val="0"/>
          <w:divBdr>
            <w:top w:val="none" w:sz="0" w:space="0" w:color="auto"/>
            <w:left w:val="none" w:sz="0" w:space="0" w:color="auto"/>
            <w:bottom w:val="none" w:sz="0" w:space="0" w:color="auto"/>
            <w:right w:val="none" w:sz="0" w:space="0" w:color="auto"/>
          </w:divBdr>
        </w:div>
        <w:div w:id="1386217543">
          <w:marLeft w:val="0"/>
          <w:marRight w:val="0"/>
          <w:marTop w:val="0"/>
          <w:marBottom w:val="0"/>
          <w:divBdr>
            <w:top w:val="none" w:sz="0" w:space="0" w:color="auto"/>
            <w:left w:val="none" w:sz="0" w:space="0" w:color="auto"/>
            <w:bottom w:val="none" w:sz="0" w:space="0" w:color="auto"/>
            <w:right w:val="none" w:sz="0" w:space="0" w:color="auto"/>
          </w:divBdr>
        </w:div>
        <w:div w:id="739787479">
          <w:marLeft w:val="0"/>
          <w:marRight w:val="0"/>
          <w:marTop w:val="0"/>
          <w:marBottom w:val="0"/>
          <w:divBdr>
            <w:top w:val="none" w:sz="0" w:space="0" w:color="auto"/>
            <w:left w:val="none" w:sz="0" w:space="0" w:color="auto"/>
            <w:bottom w:val="none" w:sz="0" w:space="0" w:color="auto"/>
            <w:right w:val="none" w:sz="0" w:space="0" w:color="auto"/>
          </w:divBdr>
        </w:div>
      </w:divsChild>
    </w:div>
    <w:div w:id="17562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Пользователь Windows</cp:lastModifiedBy>
  <cp:revision>2</cp:revision>
  <dcterms:created xsi:type="dcterms:W3CDTF">2019-05-13T08:44:00Z</dcterms:created>
  <dcterms:modified xsi:type="dcterms:W3CDTF">2019-05-13T08:44:00Z</dcterms:modified>
</cp:coreProperties>
</file>