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E5" w:rsidRPr="007520E0" w:rsidRDefault="00FC5FE5" w:rsidP="007520E0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 w:themeColor="text1"/>
          <w:sz w:val="28"/>
          <w:szCs w:val="28"/>
          <w:lang w:val="uk-UA"/>
        </w:rPr>
      </w:pPr>
      <w:r w:rsidRPr="007520E0">
        <w:rPr>
          <w:rStyle w:val="rvts9"/>
          <w:b/>
          <w:bCs/>
          <w:color w:val="000000" w:themeColor="text1"/>
          <w:sz w:val="28"/>
          <w:szCs w:val="28"/>
          <w:lang w:val="uk-UA"/>
        </w:rPr>
        <w:t>Правовий статус іноземців та осіб без громадянства</w:t>
      </w:r>
    </w:p>
    <w:p w:rsidR="00FC5FE5" w:rsidRPr="007520E0" w:rsidRDefault="00FC5FE5" w:rsidP="007520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0" w:name="n182"/>
      <w:bookmarkEnd w:id="0"/>
      <w:r w:rsidRPr="007520E0">
        <w:rPr>
          <w:color w:val="000000" w:themeColor="text1"/>
          <w:sz w:val="28"/>
          <w:szCs w:val="28"/>
          <w:lang w:val="uk-UA"/>
        </w:rPr>
        <w:t>Деякі суди помилково відмовляли у задоволенні подань державних виконавців про тимчасове обмеження у праві виїзду боржника - фізичної особи або керівника боржника-юридичної особи за межі України, які не є громадянами України, мотивуючи свої рішення тим, що</w:t>
      </w:r>
      <w:r w:rsidR="00BB561B" w:rsidRPr="007520E0">
        <w:rPr>
          <w:color w:val="000000" w:themeColor="text1"/>
          <w:sz w:val="28"/>
          <w:szCs w:val="28"/>
          <w:lang w:val="uk-UA"/>
        </w:rPr>
        <w:t xml:space="preserve"> Законом України «</w:t>
      </w:r>
      <w:r w:rsidR="00BB561B" w:rsidRPr="007520E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порядок виїзду з України і в'їзду в Україну громадян України» </w:t>
      </w:r>
      <w:hyperlink r:id="rId4" w:tgtFrame="_blank" w:history="1"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№ 3857-XII</w:t>
        </w:r>
      </w:hyperlink>
      <w:r w:rsidR="00BB561B" w:rsidRPr="007520E0">
        <w:rPr>
          <w:color w:val="000000" w:themeColor="text1"/>
          <w:sz w:val="28"/>
          <w:szCs w:val="28"/>
          <w:lang w:val="uk-UA"/>
        </w:rPr>
        <w:t xml:space="preserve"> </w:t>
      </w:r>
      <w:r w:rsidRPr="007520E0">
        <w:rPr>
          <w:color w:val="000000" w:themeColor="text1"/>
          <w:sz w:val="28"/>
          <w:szCs w:val="28"/>
          <w:lang w:val="uk-UA"/>
        </w:rPr>
        <w:t>не передбачено обмежень щодо іноземців та осіб без громадянства. Таке вирішення питання не узгоджується з нормами</w:t>
      </w:r>
      <w:r w:rsidR="00BB561B" w:rsidRPr="007520E0">
        <w:rPr>
          <w:color w:val="000000" w:themeColor="text1"/>
          <w:sz w:val="28"/>
          <w:szCs w:val="28"/>
          <w:lang w:val="uk-UA"/>
        </w:rPr>
        <w:t xml:space="preserve"> Закону України «</w:t>
      </w:r>
      <w:r w:rsidR="00BB561B" w:rsidRPr="007520E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правовий статус іноземців та осіб без громадянства» </w:t>
      </w:r>
      <w:hyperlink r:id="rId5" w:tgtFrame="_blank" w:history="1"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№ 3773-VI</w:t>
        </w:r>
      </w:hyperlink>
      <w:r w:rsidRPr="007520E0">
        <w:rPr>
          <w:color w:val="000000" w:themeColor="text1"/>
          <w:sz w:val="28"/>
          <w:szCs w:val="28"/>
          <w:lang w:val="uk-UA"/>
        </w:rPr>
        <w:t xml:space="preserve">, суперечить ст. </w:t>
      </w:r>
      <w:r w:rsidR="00BB561B" w:rsidRPr="007520E0">
        <w:rPr>
          <w:color w:val="000000" w:themeColor="text1"/>
          <w:sz w:val="28"/>
          <w:szCs w:val="28"/>
          <w:lang w:val="uk-UA"/>
        </w:rPr>
        <w:t xml:space="preserve">377-1 </w:t>
      </w:r>
      <w:hyperlink r:id="rId6" w:tgtFrame="_blank" w:history="1"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ЦПК</w:t>
        </w:r>
      </w:hyperlink>
      <w:r w:rsidR="00BB561B" w:rsidRPr="007520E0">
        <w:rPr>
          <w:color w:val="000000" w:themeColor="text1"/>
          <w:sz w:val="28"/>
          <w:szCs w:val="28"/>
          <w:lang w:val="uk-UA"/>
        </w:rPr>
        <w:t xml:space="preserve"> Вирішення питання про тимчасове </w:t>
      </w:r>
      <w:r w:rsidR="00BB561B" w:rsidRPr="007520E0">
        <w:rPr>
          <w:color w:val="000000" w:themeColor="text1"/>
          <w:sz w:val="28"/>
          <w:szCs w:val="28"/>
          <w:shd w:val="clear" w:color="auto" w:fill="FAFAFA"/>
          <w:lang w:val="uk-UA"/>
        </w:rPr>
        <w:t xml:space="preserve">обмеження у праві виїзду за межі України </w:t>
      </w:r>
      <w:r w:rsidRPr="007520E0">
        <w:rPr>
          <w:color w:val="000000" w:themeColor="text1"/>
          <w:sz w:val="28"/>
          <w:szCs w:val="28"/>
          <w:lang w:val="uk-UA"/>
        </w:rPr>
        <w:t>та п. 18 ч. 3 ст. 11</w:t>
      </w:r>
      <w:r w:rsidR="00BB561B" w:rsidRPr="007520E0">
        <w:rPr>
          <w:color w:val="000000" w:themeColor="text1"/>
          <w:sz w:val="28"/>
          <w:szCs w:val="28"/>
          <w:lang w:val="uk-UA"/>
        </w:rPr>
        <w:t xml:space="preserve"> </w:t>
      </w:r>
      <w:hyperlink r:id="rId7" w:tgtFrame="_blank" w:history="1"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 xml:space="preserve">Закону </w:t>
        </w:r>
        <w:r w:rsidR="00BB561B"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 xml:space="preserve">України </w:t>
        </w:r>
        <w:r w:rsidR="00867B68"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 xml:space="preserve">«Про виконавче провадження» </w:t>
        </w:r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№ 606-XIV</w:t>
        </w:r>
      </w:hyperlink>
      <w:r w:rsidRPr="007520E0">
        <w:rPr>
          <w:color w:val="000000" w:themeColor="text1"/>
          <w:sz w:val="28"/>
          <w:szCs w:val="28"/>
          <w:lang w:val="uk-UA"/>
        </w:rPr>
        <w:t>, які передбачають вирішення у судовому порядку питань про тимчасове обмеження у праві виїзду боржників без урахування їх громадянства.</w:t>
      </w:r>
    </w:p>
    <w:p w:rsidR="00FC5FE5" w:rsidRPr="007520E0" w:rsidRDefault="00FC5FE5" w:rsidP="007520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1" w:name="n183"/>
      <w:bookmarkStart w:id="2" w:name="n186"/>
      <w:bookmarkStart w:id="3" w:name="n187"/>
      <w:bookmarkEnd w:id="1"/>
      <w:bookmarkEnd w:id="2"/>
      <w:bookmarkEnd w:id="3"/>
      <w:r w:rsidRPr="007520E0">
        <w:rPr>
          <w:color w:val="000000" w:themeColor="text1"/>
          <w:sz w:val="28"/>
          <w:szCs w:val="28"/>
          <w:lang w:val="uk-UA"/>
        </w:rPr>
        <w:t xml:space="preserve">Судовий розгляд справи про тимчасове обмеження у праві виїзду за межі України закінчується постановленням ухвали, яка за своєю формою та змістом повинна відповідати вимогам статей 208 </w:t>
      </w:r>
      <w:r w:rsidR="00BB561B" w:rsidRPr="007520E0">
        <w:rPr>
          <w:color w:val="000000" w:themeColor="text1"/>
          <w:sz w:val="28"/>
          <w:szCs w:val="28"/>
          <w:lang w:val="uk-UA"/>
        </w:rPr>
        <w:t>–</w:t>
      </w:r>
      <w:r w:rsidRPr="007520E0">
        <w:rPr>
          <w:color w:val="000000" w:themeColor="text1"/>
          <w:sz w:val="28"/>
          <w:szCs w:val="28"/>
          <w:lang w:val="uk-UA"/>
        </w:rPr>
        <w:t xml:space="preserve"> 21</w:t>
      </w:r>
      <w:r w:rsidR="00BB561B" w:rsidRPr="007520E0">
        <w:rPr>
          <w:color w:val="000000" w:themeColor="text1"/>
          <w:sz w:val="28"/>
          <w:szCs w:val="28"/>
          <w:lang w:val="uk-UA"/>
        </w:rPr>
        <w:t xml:space="preserve">0 </w:t>
      </w:r>
      <w:hyperlink r:id="rId8" w:tgtFrame="_blank" w:history="1"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ЦПК</w:t>
        </w:r>
      </w:hyperlink>
      <w:r w:rsidRPr="007520E0">
        <w:rPr>
          <w:color w:val="000000" w:themeColor="text1"/>
          <w:sz w:val="28"/>
          <w:szCs w:val="28"/>
          <w:lang w:val="uk-UA"/>
        </w:rPr>
        <w:t xml:space="preserve">. </w:t>
      </w:r>
      <w:r w:rsidR="00BB561B" w:rsidRPr="007520E0">
        <w:rPr>
          <w:color w:val="000000" w:themeColor="text1"/>
          <w:sz w:val="28"/>
          <w:szCs w:val="28"/>
          <w:lang w:val="uk-UA"/>
        </w:rPr>
        <w:t>Рішення по справам</w:t>
      </w:r>
      <w:r w:rsidRPr="007520E0">
        <w:rPr>
          <w:color w:val="000000" w:themeColor="text1"/>
          <w:sz w:val="28"/>
          <w:szCs w:val="28"/>
          <w:lang w:val="uk-UA"/>
        </w:rPr>
        <w:t xml:space="preserve"> зазначеної категорії свідч</w:t>
      </w:r>
      <w:r w:rsidR="00BB561B" w:rsidRPr="007520E0">
        <w:rPr>
          <w:color w:val="000000" w:themeColor="text1"/>
          <w:sz w:val="28"/>
          <w:szCs w:val="28"/>
          <w:lang w:val="uk-UA"/>
        </w:rPr>
        <w:t>ать</w:t>
      </w:r>
      <w:r w:rsidRPr="007520E0">
        <w:rPr>
          <w:color w:val="000000" w:themeColor="text1"/>
          <w:sz w:val="28"/>
          <w:szCs w:val="28"/>
          <w:lang w:val="uk-UA"/>
        </w:rPr>
        <w:t xml:space="preserve"> про те, що суди загалом дотримуються вимог відповідних статей, однак відсутня однакова судова практика щодо вирішення питання - </w:t>
      </w:r>
      <w:proofErr w:type="spellStart"/>
      <w:r w:rsidRPr="007520E0">
        <w:rPr>
          <w:color w:val="000000" w:themeColor="text1"/>
          <w:sz w:val="28"/>
          <w:szCs w:val="28"/>
          <w:lang w:val="uk-UA"/>
        </w:rPr>
        <w:t>постановлювати</w:t>
      </w:r>
      <w:proofErr w:type="spellEnd"/>
      <w:r w:rsidRPr="007520E0">
        <w:rPr>
          <w:color w:val="000000" w:themeColor="text1"/>
          <w:sz w:val="28"/>
          <w:szCs w:val="28"/>
          <w:lang w:val="uk-UA"/>
        </w:rPr>
        <w:t xml:space="preserve"> ухвали іменем України чи без зазначення цього.</w:t>
      </w:r>
    </w:p>
    <w:p w:rsidR="00FC5FE5" w:rsidRPr="007520E0" w:rsidRDefault="00FC5FE5" w:rsidP="007520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4" w:name="n188"/>
      <w:bookmarkEnd w:id="4"/>
      <w:r w:rsidRPr="007520E0">
        <w:rPr>
          <w:color w:val="000000" w:themeColor="text1"/>
          <w:sz w:val="28"/>
          <w:szCs w:val="28"/>
          <w:lang w:val="uk-UA"/>
        </w:rPr>
        <w:t>Згідно з</w:t>
      </w:r>
      <w:r w:rsidR="00BB561B" w:rsidRPr="007520E0">
        <w:rPr>
          <w:color w:val="000000" w:themeColor="text1"/>
          <w:sz w:val="28"/>
          <w:szCs w:val="28"/>
          <w:lang w:val="uk-UA"/>
        </w:rPr>
        <w:t xml:space="preserve"> </w:t>
      </w:r>
      <w:hyperlink r:id="rId9" w:anchor="n1720" w:tgtFrame="_blank" w:history="1">
        <w:r w:rsidR="00BB561B"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ч.2 ст.</w:t>
        </w:r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19 Конституції</w:t>
        </w:r>
      </w:hyperlink>
      <w:r w:rsidR="00BB561B" w:rsidRPr="007520E0">
        <w:rPr>
          <w:color w:val="000000" w:themeColor="text1"/>
          <w:sz w:val="28"/>
          <w:szCs w:val="28"/>
          <w:lang w:val="uk-UA"/>
        </w:rPr>
        <w:t xml:space="preserve"> </w:t>
      </w:r>
      <w:r w:rsidR="00867B68" w:rsidRPr="007520E0">
        <w:rPr>
          <w:color w:val="000000" w:themeColor="text1"/>
          <w:sz w:val="28"/>
          <w:szCs w:val="28"/>
          <w:lang w:val="uk-UA"/>
        </w:rPr>
        <w:t xml:space="preserve">України </w:t>
      </w:r>
      <w:r w:rsidRPr="007520E0">
        <w:rPr>
          <w:color w:val="000000" w:themeColor="text1"/>
          <w:sz w:val="28"/>
          <w:szCs w:val="28"/>
          <w:lang w:val="uk-UA"/>
        </w:rPr>
        <w:t>органи державної влади,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  <w:bookmarkStart w:id="5" w:name="n189"/>
      <w:bookmarkEnd w:id="5"/>
      <w:r w:rsidR="00867B68" w:rsidRPr="007520E0">
        <w:rPr>
          <w:color w:val="000000" w:themeColor="text1"/>
          <w:sz w:val="28"/>
          <w:szCs w:val="28"/>
          <w:lang w:val="uk-UA"/>
        </w:rPr>
        <w:t xml:space="preserve"> Також </w:t>
      </w:r>
      <w:r w:rsidR="007520E0" w:rsidRPr="007520E0">
        <w:rPr>
          <w:color w:val="000000" w:themeColor="text1"/>
          <w:sz w:val="28"/>
          <w:szCs w:val="28"/>
          <w:lang w:val="uk-UA"/>
        </w:rPr>
        <w:t>передбачено, що «</w:t>
      </w:r>
      <w:r w:rsidRPr="007520E0">
        <w:rPr>
          <w:color w:val="000000" w:themeColor="text1"/>
          <w:sz w:val="28"/>
          <w:szCs w:val="28"/>
          <w:lang w:val="uk-UA"/>
        </w:rPr>
        <w:t>судочинство визнача</w:t>
      </w:r>
      <w:r w:rsidR="007520E0" w:rsidRPr="007520E0">
        <w:rPr>
          <w:color w:val="000000" w:themeColor="text1"/>
          <w:sz w:val="28"/>
          <w:szCs w:val="28"/>
          <w:lang w:val="uk-UA"/>
        </w:rPr>
        <w:t>ється виключно законами України»</w:t>
      </w:r>
      <w:r w:rsidRPr="007520E0">
        <w:rPr>
          <w:color w:val="000000" w:themeColor="text1"/>
          <w:sz w:val="28"/>
          <w:szCs w:val="28"/>
          <w:lang w:val="uk-UA"/>
        </w:rPr>
        <w:t xml:space="preserve"> (</w:t>
      </w:r>
      <w:hyperlink r:id="rId10" w:anchor="n2048" w:tgtFrame="_blank" w:history="1">
        <w:r w:rsidR="00BB561B"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п.14 ч.1 ст.</w:t>
        </w:r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92</w:t>
        </w:r>
      </w:hyperlink>
      <w:r w:rsidRPr="007520E0">
        <w:rPr>
          <w:color w:val="000000" w:themeColor="text1"/>
          <w:sz w:val="28"/>
          <w:szCs w:val="28"/>
          <w:lang w:val="uk-UA"/>
        </w:rPr>
        <w:t xml:space="preserve">), </w:t>
      </w:r>
      <w:r w:rsidR="007520E0" w:rsidRPr="007520E0">
        <w:rPr>
          <w:color w:val="000000" w:themeColor="text1"/>
          <w:sz w:val="28"/>
          <w:szCs w:val="28"/>
          <w:lang w:val="uk-UA"/>
        </w:rPr>
        <w:t>«</w:t>
      </w:r>
      <w:r w:rsidRPr="007520E0">
        <w:rPr>
          <w:color w:val="000000" w:themeColor="text1"/>
          <w:sz w:val="28"/>
          <w:szCs w:val="28"/>
          <w:lang w:val="uk-UA"/>
        </w:rPr>
        <w:t>судові рішення ухвалюються судами іменем України і є обов'язковими до вико</w:t>
      </w:r>
      <w:r w:rsidR="007520E0" w:rsidRPr="007520E0">
        <w:rPr>
          <w:color w:val="000000" w:themeColor="text1"/>
          <w:sz w:val="28"/>
          <w:szCs w:val="28"/>
          <w:lang w:val="uk-UA"/>
        </w:rPr>
        <w:t>нання на всій території України»</w:t>
      </w:r>
      <w:r w:rsidRPr="007520E0">
        <w:rPr>
          <w:color w:val="000000" w:themeColor="text1"/>
          <w:sz w:val="28"/>
          <w:szCs w:val="28"/>
          <w:lang w:val="uk-UA"/>
        </w:rPr>
        <w:t xml:space="preserve"> (</w:t>
      </w:r>
      <w:hyperlink r:id="rId11" w:anchor="n2263" w:tgtFrame="_blank" w:history="1">
        <w:r w:rsidR="00867B68"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ч.5 ст.</w:t>
        </w:r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124</w:t>
        </w:r>
      </w:hyperlink>
      <w:r w:rsidRPr="007520E0">
        <w:rPr>
          <w:color w:val="000000" w:themeColor="text1"/>
          <w:sz w:val="28"/>
          <w:szCs w:val="28"/>
          <w:lang w:val="uk-UA"/>
        </w:rPr>
        <w:t>).</w:t>
      </w:r>
    </w:p>
    <w:p w:rsidR="00FC5FE5" w:rsidRPr="007520E0" w:rsidRDefault="00867B68" w:rsidP="007520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6" w:name="n190"/>
      <w:bookmarkEnd w:id="6"/>
      <w:r w:rsidRPr="007520E0">
        <w:rPr>
          <w:color w:val="000000" w:themeColor="text1"/>
          <w:sz w:val="28"/>
          <w:szCs w:val="28"/>
          <w:lang w:val="uk-UA"/>
        </w:rPr>
        <w:t>У ч.1 ст.</w:t>
      </w:r>
      <w:r w:rsidR="00FC5FE5" w:rsidRPr="007520E0">
        <w:rPr>
          <w:color w:val="000000" w:themeColor="text1"/>
          <w:sz w:val="28"/>
          <w:szCs w:val="28"/>
          <w:lang w:val="uk-UA"/>
        </w:rPr>
        <w:t>13</w:t>
      </w:r>
      <w:r w:rsidRPr="007520E0">
        <w:rPr>
          <w:color w:val="000000" w:themeColor="text1"/>
          <w:sz w:val="28"/>
          <w:szCs w:val="28"/>
          <w:lang w:val="uk-UA"/>
        </w:rPr>
        <w:t xml:space="preserve"> </w:t>
      </w:r>
      <w:hyperlink r:id="rId12" w:tgtFrame="_blank" w:history="1">
        <w:r w:rsidR="00FC5FE5"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 xml:space="preserve">Закону </w:t>
        </w:r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 xml:space="preserve">України </w:t>
        </w:r>
        <w:r w:rsidRPr="007520E0">
          <w:rPr>
            <w:color w:val="000000" w:themeColor="text1"/>
            <w:sz w:val="28"/>
            <w:szCs w:val="28"/>
            <w:lang w:val="uk-UA"/>
          </w:rPr>
          <w:t xml:space="preserve">«Про судоустрій і статус суддів» </w:t>
        </w:r>
        <w:r w:rsidR="00FC5FE5"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№ 2453-VI</w:t>
        </w:r>
      </w:hyperlink>
      <w:r w:rsidRPr="007520E0">
        <w:rPr>
          <w:color w:val="000000" w:themeColor="text1"/>
          <w:sz w:val="28"/>
          <w:szCs w:val="28"/>
          <w:lang w:val="uk-UA"/>
        </w:rPr>
        <w:t xml:space="preserve"> </w:t>
      </w:r>
      <w:r w:rsidR="00FC5FE5" w:rsidRPr="007520E0">
        <w:rPr>
          <w:color w:val="000000" w:themeColor="text1"/>
          <w:sz w:val="28"/>
          <w:szCs w:val="28"/>
          <w:lang w:val="uk-UA"/>
        </w:rPr>
        <w:t>теж зазначено, що судове рішення, яким закінчується розгляд справи в суді, ухвалюється іменем України.</w:t>
      </w:r>
    </w:p>
    <w:p w:rsidR="00923068" w:rsidRPr="007520E0" w:rsidRDefault="00FC5FE5" w:rsidP="007520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7" w:name="n191"/>
      <w:bookmarkEnd w:id="7"/>
      <w:r w:rsidRPr="007520E0">
        <w:rPr>
          <w:color w:val="000000" w:themeColor="text1"/>
          <w:sz w:val="28"/>
          <w:szCs w:val="28"/>
          <w:lang w:val="uk-UA"/>
        </w:rPr>
        <w:t>Питання про тимчасове обмеження боржника - фізичної особи або керівника боржника-юридичної особи у праві виїзду за межі України при виконанні судових рішень та рішень інших органів (посадових осіб) розглядається в порядку цивільного судочинства і вирішується судом за місцезнаходженням органу ДВС за поданням державного виконавця, погоджени</w:t>
      </w:r>
      <w:r w:rsidR="00923068" w:rsidRPr="007520E0">
        <w:rPr>
          <w:color w:val="000000" w:themeColor="text1"/>
          <w:sz w:val="28"/>
          <w:szCs w:val="28"/>
          <w:lang w:val="uk-UA"/>
        </w:rPr>
        <w:t>м з начальником відділу ДВС (ч.1 ст.</w:t>
      </w:r>
      <w:r w:rsidRPr="007520E0">
        <w:rPr>
          <w:color w:val="000000" w:themeColor="text1"/>
          <w:sz w:val="28"/>
          <w:szCs w:val="28"/>
          <w:lang w:val="uk-UA"/>
        </w:rPr>
        <w:t>37</w:t>
      </w:r>
      <w:r w:rsidR="00923068" w:rsidRPr="007520E0">
        <w:rPr>
          <w:color w:val="000000" w:themeColor="text1"/>
          <w:sz w:val="28"/>
          <w:szCs w:val="28"/>
          <w:lang w:val="uk-UA"/>
        </w:rPr>
        <w:t xml:space="preserve">7-1 </w:t>
      </w:r>
      <w:hyperlink r:id="rId13" w:tgtFrame="_blank" w:history="1"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ЦПК</w:t>
        </w:r>
      </w:hyperlink>
      <w:r w:rsidRPr="007520E0">
        <w:rPr>
          <w:color w:val="000000" w:themeColor="text1"/>
          <w:sz w:val="28"/>
          <w:szCs w:val="28"/>
          <w:lang w:val="uk-UA"/>
        </w:rPr>
        <w:t>).</w:t>
      </w:r>
      <w:r w:rsidR="00923068" w:rsidRPr="007520E0">
        <w:rPr>
          <w:color w:val="000000" w:themeColor="text1"/>
          <w:sz w:val="28"/>
          <w:szCs w:val="28"/>
          <w:lang w:val="uk-UA"/>
        </w:rPr>
        <w:t xml:space="preserve"> </w:t>
      </w:r>
    </w:p>
    <w:p w:rsidR="00FC5FE5" w:rsidRPr="007520E0" w:rsidRDefault="00923068" w:rsidP="007520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7520E0">
        <w:rPr>
          <w:color w:val="000000" w:themeColor="text1"/>
          <w:sz w:val="28"/>
          <w:szCs w:val="28"/>
          <w:lang w:val="uk-UA"/>
        </w:rPr>
        <w:t xml:space="preserve">Крім того, відповідно до ч.2 ст.4 </w:t>
      </w:r>
      <w:hyperlink r:id="rId14" w:tgtFrame="_blank" w:history="1"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 xml:space="preserve">Закону України </w:t>
        </w:r>
        <w:r w:rsidR="004175D5"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 xml:space="preserve">«Про виконавчу службу» </w:t>
        </w:r>
        <w:r w:rsidRPr="007520E0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№ 202/98-ВР</w:t>
        </w:r>
      </w:hyperlink>
      <w:r w:rsidRPr="007520E0">
        <w:rPr>
          <w:color w:val="000000" w:themeColor="text1"/>
          <w:sz w:val="28"/>
          <w:szCs w:val="28"/>
          <w:lang w:val="uk-UA"/>
        </w:rPr>
        <w:t>, державний виконавець є представником влади і здійснює примусове виконання судових рішень, постановлених іменем України.</w:t>
      </w:r>
    </w:p>
    <w:p w:rsidR="00FC5FE5" w:rsidRPr="007520E0" w:rsidRDefault="00FC5FE5" w:rsidP="007520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8" w:name="n192"/>
      <w:bookmarkStart w:id="9" w:name="n199"/>
      <w:bookmarkEnd w:id="8"/>
      <w:bookmarkEnd w:id="9"/>
      <w:r w:rsidRPr="007520E0">
        <w:rPr>
          <w:color w:val="000000" w:themeColor="text1"/>
          <w:sz w:val="28"/>
          <w:szCs w:val="28"/>
          <w:lang w:val="uk-UA"/>
        </w:rPr>
        <w:t xml:space="preserve">Враховуючи вищезазначене, аналіз окремих положень, дає підстави для висновку про те, що вирішення судом згаданого вище питання має здійснюватися у формі судового рішення, </w:t>
      </w:r>
      <w:proofErr w:type="spellStart"/>
      <w:r w:rsidRPr="007520E0">
        <w:rPr>
          <w:color w:val="000000" w:themeColor="text1"/>
          <w:sz w:val="28"/>
          <w:szCs w:val="28"/>
          <w:lang w:val="uk-UA"/>
        </w:rPr>
        <w:t>ухвалюваного</w:t>
      </w:r>
      <w:proofErr w:type="spellEnd"/>
      <w:r w:rsidRPr="007520E0">
        <w:rPr>
          <w:color w:val="000000" w:themeColor="text1"/>
          <w:sz w:val="28"/>
          <w:szCs w:val="28"/>
          <w:lang w:val="uk-UA"/>
        </w:rPr>
        <w:t xml:space="preserve"> іменем України.</w:t>
      </w:r>
    </w:p>
    <w:p w:rsidR="007520E0" w:rsidRDefault="007520E0" w:rsidP="007520E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10" w:name="n200"/>
      <w:bookmarkStart w:id="11" w:name="n201"/>
      <w:bookmarkEnd w:id="10"/>
      <w:bookmarkEnd w:id="11"/>
    </w:p>
    <w:p w:rsidR="007520E0" w:rsidRDefault="007520E0" w:rsidP="007520E0">
      <w:pPr>
        <w:spacing w:after="0" w:line="240" w:lineRule="auto"/>
        <w:rPr>
          <w:lang w:val="uk-UA" w:eastAsia="ru-RU"/>
        </w:rPr>
      </w:pPr>
      <w:r>
        <w:rPr>
          <w:lang w:val="uk-UA" w:eastAsia="ru-RU"/>
        </w:rPr>
        <w:t xml:space="preserve">Чотирнадцята київська </w:t>
      </w:r>
    </w:p>
    <w:p w:rsidR="003B2F0A" w:rsidRPr="007520E0" w:rsidRDefault="007520E0" w:rsidP="007520E0">
      <w:pPr>
        <w:spacing w:after="0" w:line="240" w:lineRule="auto"/>
        <w:rPr>
          <w:lang w:val="uk-UA" w:eastAsia="ru-RU"/>
        </w:rPr>
      </w:pPr>
      <w:r>
        <w:rPr>
          <w:lang w:val="uk-UA" w:eastAsia="ru-RU"/>
        </w:rPr>
        <w:t>державна нотаріальна контора</w:t>
      </w:r>
    </w:p>
    <w:sectPr w:rsidR="003B2F0A" w:rsidRPr="007520E0" w:rsidSect="0092306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FE5"/>
    <w:rsid w:val="000808E1"/>
    <w:rsid w:val="000D7921"/>
    <w:rsid w:val="001B40EA"/>
    <w:rsid w:val="00276F77"/>
    <w:rsid w:val="003B2F0A"/>
    <w:rsid w:val="004175D5"/>
    <w:rsid w:val="006B3648"/>
    <w:rsid w:val="007520E0"/>
    <w:rsid w:val="00867B68"/>
    <w:rsid w:val="00923068"/>
    <w:rsid w:val="00A93F01"/>
    <w:rsid w:val="00BB561B"/>
    <w:rsid w:val="00C17D76"/>
    <w:rsid w:val="00E14D51"/>
    <w:rsid w:val="00FC5FE5"/>
    <w:rsid w:val="00FE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C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C5FE5"/>
  </w:style>
  <w:style w:type="character" w:styleId="a3">
    <w:name w:val="Hyperlink"/>
    <w:basedOn w:val="a0"/>
    <w:uiPriority w:val="99"/>
    <w:semiHidden/>
    <w:unhideWhenUsed/>
    <w:rsid w:val="00FC5FE5"/>
    <w:rPr>
      <w:color w:val="0000FF"/>
      <w:u w:val="single"/>
    </w:rPr>
  </w:style>
  <w:style w:type="character" w:customStyle="1" w:styleId="rvts37">
    <w:name w:val="rvts37"/>
    <w:basedOn w:val="a0"/>
    <w:rsid w:val="00FC5FE5"/>
  </w:style>
  <w:style w:type="character" w:customStyle="1" w:styleId="rvts48">
    <w:name w:val="rvts48"/>
    <w:basedOn w:val="a0"/>
    <w:rsid w:val="00FC5FE5"/>
  </w:style>
  <w:style w:type="character" w:customStyle="1" w:styleId="rvts11">
    <w:name w:val="rvts11"/>
    <w:basedOn w:val="a0"/>
    <w:rsid w:val="00FC5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18-15" TargetMode="External"/><Relationship Id="rId13" Type="http://schemas.openxmlformats.org/officeDocument/2006/relationships/hyperlink" Target="https://zakon.rada.gov.ua/laws/show/1618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606-14" TargetMode="External"/><Relationship Id="rId12" Type="http://schemas.openxmlformats.org/officeDocument/2006/relationships/hyperlink" Target="https://zakon.rada.gov.ua/laws/show/2453-1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18-15" TargetMode="External"/><Relationship Id="rId11" Type="http://schemas.openxmlformats.org/officeDocument/2006/relationships/hyperlink" Target="https://zakon.rada.gov.ua/laws/show/254%D0%BA/96-%D0%B2%D1%80" TargetMode="External"/><Relationship Id="rId5" Type="http://schemas.openxmlformats.org/officeDocument/2006/relationships/hyperlink" Target="https://zakon.rada.gov.ua/laws/show/3773-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hyperlink" Target="https://zakon.rada.gov.ua/laws/show/3857-12" TargetMode="Externa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yperlink" Target="https://zakon.rada.gov.ua/laws/show/202/98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</cp:lastModifiedBy>
  <cp:revision>7</cp:revision>
  <cp:lastPrinted>2019-10-25T07:27:00Z</cp:lastPrinted>
  <dcterms:created xsi:type="dcterms:W3CDTF">2019-10-25T07:27:00Z</dcterms:created>
  <dcterms:modified xsi:type="dcterms:W3CDTF">2019-10-29T08:53:00Z</dcterms:modified>
</cp:coreProperties>
</file>