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3A" w:rsidRPr="00D7773A" w:rsidRDefault="00D7773A" w:rsidP="00D7773A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Недійсність заповіту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Заповіт, складений особою, яка не мала на це права, а також заповіт, складений з порушенням вимог щодо його форми та посвідчення, є нікчемним.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За позовом заінтересованої особи суд визнає заповіт недійсним, якщо буде встановлено, що волевиявлення заповідача не було вільним і не відповідало його волі.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Недійсність окремого розпорядження, що міститься у заповіті, не має наслідком недійсності іншої його частини.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У разі недійсності заповіту спадкоємець, який за цим заповітом був позбавлений права на спадкування, одержує право на спадкування за законом на загальних підставах.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 xml:space="preserve">Однією з особливостей заповіту як правочину є те, що він водночас може бути віднесений і до нікчемних, і до </w:t>
      </w: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оспорюваних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 правочинів.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Підставами нікчемності заповіту, тобто недійсності в силу закону, без необхідності прийняття рішення про недійсність судом, є складання заповіту особою, яка не мала на це права, або складання з порушенням форми та посвідчення заповіту. Оскільки право на складання заповіту має особа з повною цивільною дієздатністю (ч. 1 ст. 1234 Ц</w:t>
      </w:r>
      <w:r>
        <w:rPr>
          <w:rFonts w:ascii="Times New Roman" w:hAnsi="Times New Roman" w:cs="Times New Roman"/>
          <w:sz w:val="28"/>
          <w:szCs w:val="28"/>
        </w:rPr>
        <w:t>ивільного кодексу України</w:t>
      </w:r>
      <w:r w:rsidRPr="00D7773A">
        <w:rPr>
          <w:rFonts w:ascii="Times New Roman" w:hAnsi="Times New Roman" w:cs="Times New Roman"/>
          <w:sz w:val="28"/>
          <w:szCs w:val="28"/>
        </w:rPr>
        <w:t>К), згідно ч. 1 ст. 1257 ЦК це і є основною підставою для нікчемності заповіту як такого, що складений особою, яка не мала на це права. Проте в переважній більшості випадків такі заповіти стають предметом судового розгляду, в процесі якого і визначається обсяг дієздатності фізичної особи-заповідача за допомогою посмертної судово-психіатричної експертизи. Тому попри віднесення таких заповітів до нікчемних, вони можуть визнаватися недійними в судовому порядку.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Порушення форми та порядку посвідчення заповітів являють собою неврахування будь-яких імперативних вимог закону, підзаконних актів щодо складання заповіту (відсутність нотаріального посвідчення або посвідчення особами, яке прирівнюється до нотаріального, складання заповіту представником, відсутність у тексті заповіту дати, місця його складання, дати та місця народження заповідача тощо).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оспорюваних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 заповітів за змістом частини другої коментованої статті належать ті з них, які визнаються недійними за судовим рішенням на підставі встановлення того факту, що волевиявлення заповідача не було вільним і не відповідало його волі. В даному випадку має місце порушення вимоги дійсності правочину, яка передбачена у ч. 3 ст. 203 ЦК.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 xml:space="preserve">При цьому недійні заповіти за ч. 2 ст. 1257 ЦК слід відрізняти від класичних </w:t>
      </w: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оспорюваних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 правочинів, які передбачені ч. 3 ст. 215 ЦК. До </w:t>
      </w: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оспорюваних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 належать правочини, які за наявності певних порушень можуть бути визнані судом недійсними, в той час як заповіт</w:t>
      </w:r>
      <w:r>
        <w:rPr>
          <w:rFonts w:ascii="Times New Roman" w:hAnsi="Times New Roman" w:cs="Times New Roman"/>
          <w:sz w:val="28"/>
          <w:szCs w:val="28"/>
        </w:rPr>
        <w:t>, який складено з «пороком волі»</w:t>
      </w:r>
      <w:r w:rsidRPr="00D7773A">
        <w:rPr>
          <w:rFonts w:ascii="Times New Roman" w:hAnsi="Times New Roman" w:cs="Times New Roman"/>
          <w:sz w:val="28"/>
          <w:szCs w:val="28"/>
        </w:rPr>
        <w:t>, суд має визнати недійним.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Продовженням ст. 217 ЦК, яка встановлює, що недійсність окремої частини правочину не має наслідком недійсності інших його частин і правочину в цілому, якщо можна припустити, що правочин був би вчинений і без включення до нього недійсної частини, є норма ч. 3 ст. 1257 ЦК про те, що недійсність окремого розпорядження у заповіті не має наслідком недійсності іншої його частини.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lastRenderedPageBreak/>
        <w:t>Водночас слід уточнити, що положення ч. 3 ст. 1257 ЦК застосовуються тільки в тому випадку, коли внаслідок недійсності окремого розпорядження заповіт не визнається повністю недійсним. Наприклад, якщо у заповіті був призначений єдиний спадкоємець, на користь якого була залишена уся спадщина, а також покладено виконання заповідального відказу, а після смерті заповідача такий заповіт був визнаний недійним як такий, в якому зовнішнє волевиявлення не відповідало внутрішній волі заповідача, цілком очевидно, що розпорядження щодо заповідального відказу втрачає чинність внаслідок відсутності спадкоємця, який має таке розпорядження виконувати.</w:t>
      </w:r>
    </w:p>
    <w:p w:rsidR="00D7773A" w:rsidRP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Визнання заповіту недійсним в цілому означає недійсність усіх розпоряджень заповідача, в тому числі і розпорядження щодо позбавлення спадкоємця права на спадкування.</w:t>
      </w:r>
    </w:p>
    <w:p w:rsidR="00D7773A" w:rsidRDefault="00D7773A" w:rsidP="00D777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73A">
        <w:rPr>
          <w:rFonts w:ascii="Times New Roman" w:hAnsi="Times New Roman" w:cs="Times New Roman"/>
          <w:sz w:val="28"/>
          <w:szCs w:val="28"/>
        </w:rPr>
        <w:t>Поряд з інститутом недійсних запов</w:t>
      </w:r>
      <w:r>
        <w:rPr>
          <w:rFonts w:ascii="Times New Roman" w:hAnsi="Times New Roman" w:cs="Times New Roman"/>
          <w:sz w:val="28"/>
          <w:szCs w:val="28"/>
        </w:rPr>
        <w:t>ітів, Цивільний кодекс України  оперує також поняттям «чинний заповіт»</w:t>
      </w:r>
      <w:r w:rsidRPr="00D7773A">
        <w:rPr>
          <w:rFonts w:ascii="Times New Roman" w:hAnsi="Times New Roman" w:cs="Times New Roman"/>
          <w:sz w:val="28"/>
          <w:szCs w:val="28"/>
        </w:rPr>
        <w:t xml:space="preserve"> (у частинах 3, 4 ст. 1235 ЦК, ч. 4 ст. 1236 ЦК). Можна припустити, що такі заповіти мають визнаватися не недійсними, а саме </w:t>
      </w: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нечинними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, тобто неукладеними повністю або у частині, оскільки вони відповідають дійсній волі укладача, вчиняються в межах його цивільної дієздатності, в них відсутні порушення вимог закону щодо форми, порядку посвідчення. </w:t>
      </w:r>
    </w:p>
    <w:p w:rsidR="008967BE" w:rsidRDefault="00D7773A" w:rsidP="008967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73A">
        <w:rPr>
          <w:rFonts w:ascii="Times New Roman" w:hAnsi="Times New Roman" w:cs="Times New Roman"/>
          <w:sz w:val="28"/>
          <w:szCs w:val="28"/>
        </w:rPr>
        <w:t>Нечинність</w:t>
      </w:r>
      <w:proofErr w:type="spellEnd"/>
      <w:r w:rsidRPr="00D7773A">
        <w:rPr>
          <w:rFonts w:ascii="Times New Roman" w:hAnsi="Times New Roman" w:cs="Times New Roman"/>
          <w:sz w:val="28"/>
          <w:szCs w:val="28"/>
        </w:rPr>
        <w:t xml:space="preserve"> таких заповітів обумовлюється саме особливостями їх правової природи, адже чинність заповіту щодо складу об'єктів та суб'єктів спадкування згідно зазначених норм визначається на час відкриття спадщини, а не на час складання заповіту.</w:t>
      </w:r>
    </w:p>
    <w:p w:rsidR="008967BE" w:rsidRPr="008967BE" w:rsidRDefault="008967BE" w:rsidP="008967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7BE" w:rsidRDefault="008967BE" w:rsidP="0089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E">
        <w:rPr>
          <w:rFonts w:ascii="Times New Roman" w:hAnsi="Times New Roman" w:cs="Times New Roman"/>
          <w:sz w:val="24"/>
          <w:szCs w:val="24"/>
        </w:rPr>
        <w:t xml:space="preserve">Чотирнадцята київська </w:t>
      </w:r>
    </w:p>
    <w:p w:rsidR="002518E6" w:rsidRPr="008967BE" w:rsidRDefault="008967BE" w:rsidP="0089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7BE">
        <w:rPr>
          <w:rFonts w:ascii="Times New Roman" w:hAnsi="Times New Roman" w:cs="Times New Roman"/>
          <w:sz w:val="24"/>
          <w:szCs w:val="24"/>
        </w:rPr>
        <w:t>державна нотаріальна контора</w:t>
      </w:r>
    </w:p>
    <w:sectPr w:rsidR="002518E6" w:rsidRPr="008967BE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73A"/>
    <w:rsid w:val="00016B33"/>
    <w:rsid w:val="000B3FD7"/>
    <w:rsid w:val="00130361"/>
    <w:rsid w:val="001441F1"/>
    <w:rsid w:val="00152759"/>
    <w:rsid w:val="00162B2B"/>
    <w:rsid w:val="002518E6"/>
    <w:rsid w:val="00274A02"/>
    <w:rsid w:val="002B007B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967B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7773A"/>
    <w:rsid w:val="00DE6049"/>
    <w:rsid w:val="00E7118A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7773A"/>
    <w:rPr>
      <w:i/>
      <w:iCs/>
    </w:rPr>
  </w:style>
  <w:style w:type="paragraph" w:styleId="a5">
    <w:name w:val="No Spacing"/>
    <w:uiPriority w:val="1"/>
    <w:qFormat/>
    <w:rsid w:val="00D77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2891</Words>
  <Characters>1648</Characters>
  <Application>Microsoft Office Word</Application>
  <DocSecurity>0</DocSecurity>
  <Lines>13</Lines>
  <Paragraphs>9</Paragraphs>
  <ScaleCrop>false</ScaleCrop>
  <Company>Krokoz™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2019-10-28T12:56:00Z</dcterms:created>
  <dcterms:modified xsi:type="dcterms:W3CDTF">2019-10-29T08:27:00Z</dcterms:modified>
</cp:coreProperties>
</file>