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A7" w:rsidRDefault="006618A7" w:rsidP="006618A7">
      <w:pPr>
        <w:pStyle w:val="xfmc1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val="uk-UA"/>
        </w:rPr>
        <w:t>Допомога батькам важкохворих дітей без інвалідності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1 січня 2019 року набув чинності </w:t>
      </w:r>
      <w:hyperlink r:id="rId4" w:anchor="n79" w:tgtFrame="_blank" w:history="1">
        <w:r>
          <w:rPr>
            <w:rStyle w:val="a3"/>
            <w:color w:val="auto"/>
            <w:sz w:val="28"/>
            <w:szCs w:val="28"/>
            <w:lang w:val="uk-UA"/>
          </w:rPr>
          <w:t>Закон України «Про внесення змін до деяких законодавчих актів України щодо посилення соціального захисту осіб, які доглядають за хворими дітьми»</w:t>
        </w:r>
      </w:hyperlink>
      <w:r>
        <w:rPr>
          <w:color w:val="000000"/>
          <w:sz w:val="28"/>
          <w:szCs w:val="28"/>
          <w:lang w:val="uk-UA"/>
        </w:rPr>
        <w:t>.</w:t>
      </w:r>
    </w:p>
    <w:p w:rsidR="006618A7" w:rsidRPr="006618A7" w:rsidRDefault="006618A7" w:rsidP="006618A7">
      <w:pPr>
        <w:pStyle w:val="xfmc1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Батькам дітей, яким не встановлено інвалідність, буде нараховуватись державна допомога. До цього переліку належать діти, хворі на важке </w:t>
      </w:r>
      <w:proofErr w:type="spellStart"/>
      <w:r>
        <w:rPr>
          <w:color w:val="000000"/>
          <w:sz w:val="28"/>
          <w:szCs w:val="28"/>
          <w:lang w:val="uk-UA"/>
        </w:rPr>
        <w:t>перинатальне</w:t>
      </w:r>
      <w:proofErr w:type="spellEnd"/>
      <w:r>
        <w:rPr>
          <w:color w:val="000000"/>
          <w:sz w:val="28"/>
          <w:szCs w:val="28"/>
          <w:lang w:val="uk-UA"/>
        </w:rPr>
        <w:t xml:space="preserve"> ураження нервової системи, важку вроджену ваду розвитку, онкологічне, </w:t>
      </w:r>
      <w:proofErr w:type="spellStart"/>
      <w:r>
        <w:rPr>
          <w:color w:val="000000"/>
          <w:sz w:val="28"/>
          <w:szCs w:val="28"/>
          <w:lang w:val="uk-UA"/>
        </w:rPr>
        <w:t>онкогематологічне</w:t>
      </w:r>
      <w:proofErr w:type="spellEnd"/>
      <w:r>
        <w:rPr>
          <w:color w:val="000000"/>
          <w:sz w:val="28"/>
          <w:szCs w:val="28"/>
          <w:lang w:val="uk-UA"/>
        </w:rPr>
        <w:t xml:space="preserve"> захворювання, дитячий церебральний параліч, важкий психічний розлад, цукровий діабет I типу (інсулінозалежний), гостре або хронічне захворювання нирок, або діти, які отримали важку травму, потребують трансплантації органів чи паліативної допомоги.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Відповідно до Закону України «Про державну допомогу сім’ям з дітьми» допомога надається щомісячно в розмірі прожиткового мінімуму для осіб, які втратили працездатність.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Для довідки, прожитковий мінімум у 2019 році для осіб, які втратили працездатність: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 xml:space="preserve">з 01 січня </w:t>
      </w:r>
      <w:proofErr w:type="spellStart"/>
      <w:r>
        <w:rPr>
          <w:color w:val="000000"/>
          <w:sz w:val="28"/>
          <w:szCs w:val="28"/>
          <w:lang w:val="uk-UA"/>
        </w:rPr>
        <w:t>пo</w:t>
      </w:r>
      <w:proofErr w:type="spellEnd"/>
      <w:r>
        <w:rPr>
          <w:color w:val="000000"/>
          <w:sz w:val="28"/>
          <w:szCs w:val="28"/>
          <w:lang w:val="uk-UA"/>
        </w:rPr>
        <w:t xml:space="preserve"> 30 червня – 1497 </w:t>
      </w:r>
      <w:proofErr w:type="spellStart"/>
      <w:r>
        <w:rPr>
          <w:color w:val="000000"/>
          <w:sz w:val="28"/>
          <w:szCs w:val="28"/>
          <w:lang w:val="uk-UA"/>
        </w:rPr>
        <w:t>грн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 xml:space="preserve">з 01 липня </w:t>
      </w:r>
      <w:proofErr w:type="spellStart"/>
      <w:r>
        <w:rPr>
          <w:color w:val="000000"/>
          <w:sz w:val="28"/>
          <w:szCs w:val="28"/>
          <w:lang w:val="uk-UA"/>
        </w:rPr>
        <w:t>пo</w:t>
      </w:r>
      <w:proofErr w:type="spellEnd"/>
      <w:r>
        <w:rPr>
          <w:color w:val="000000"/>
          <w:sz w:val="28"/>
          <w:szCs w:val="28"/>
          <w:lang w:val="uk-UA"/>
        </w:rPr>
        <w:t xml:space="preserve"> 30 листопада – 1564 </w:t>
      </w:r>
      <w:proofErr w:type="spellStart"/>
      <w:r>
        <w:rPr>
          <w:color w:val="000000"/>
          <w:sz w:val="28"/>
          <w:szCs w:val="28"/>
          <w:lang w:val="uk-UA"/>
        </w:rPr>
        <w:t>грн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з 01 грудня – 1638 грн.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Окрім того, внесено зміни до Закону України «Про збір та облік єдиного внеску на загальнообов’язкове державне соціальне страхування».</w:t>
      </w:r>
    </w:p>
    <w:p w:rsidR="006618A7" w:rsidRPr="006618A7" w:rsidRDefault="006618A7" w:rsidP="006618A7">
      <w:pPr>
        <w:pStyle w:val="xfmc1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>Зміни гарантують сплату єдиного соціального внеску за одного з працездатних батьків такої дитини. Також батьки хворих дітей підлягають загальнообов’язковому державному пенсійному страхуванню. Зазначений період догляду зараховуватиметься до страхового стажу, що дає право на пенсійне забезпечення, і до стажу роботи, який дає право на щорічну основну відпустку.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i/>
          <w:iCs/>
          <w:color w:val="000000"/>
          <w:sz w:val="28"/>
          <w:szCs w:val="28"/>
          <w:lang w:val="uk-UA"/>
        </w:rPr>
        <w:t>Перелік документів для призначення допомоги: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- заява про призначення допомоги за відповідною формою;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- паспорт або інший документ, що посвідчує особу;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- документ, що підтверджує повноваження опікуна, піклувальника, прийомних батьків, батьків-вихователів;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- свідоцтво про народження дитини;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- довідка про захворювання дитини.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i/>
          <w:iCs/>
          <w:color w:val="000000"/>
          <w:sz w:val="28"/>
          <w:szCs w:val="28"/>
          <w:lang w:val="uk-UA"/>
        </w:rPr>
        <w:t>Куди звертатись?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lastRenderedPageBreak/>
        <w:t>Для оформлення відповідної допомоги потрібно звернутися до органу соціального захисту населення.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i/>
          <w:iCs/>
          <w:color w:val="000000"/>
          <w:sz w:val="28"/>
          <w:szCs w:val="28"/>
          <w:lang w:val="uk-UA"/>
        </w:rPr>
        <w:t>Призначені виплати припиняються у разі: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 xml:space="preserve">- тимчасового влаштування хворої дитини на повне державне утримання за заявою </w:t>
      </w:r>
      <w:proofErr w:type="spellStart"/>
      <w:r>
        <w:rPr>
          <w:color w:val="000000"/>
          <w:sz w:val="28"/>
          <w:szCs w:val="28"/>
          <w:lang w:val="uk-UA"/>
        </w:rPr>
        <w:t>отримувача</w:t>
      </w:r>
      <w:proofErr w:type="spellEnd"/>
      <w:r>
        <w:rPr>
          <w:color w:val="000000"/>
          <w:sz w:val="28"/>
          <w:szCs w:val="28"/>
          <w:lang w:val="uk-UA"/>
        </w:rPr>
        <w:t xml:space="preserve"> такої допомоги;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 xml:space="preserve">- влаштування дитини на повне державне утримання у разі відібрання хворої дитини в </w:t>
      </w:r>
      <w:proofErr w:type="spellStart"/>
      <w:r>
        <w:rPr>
          <w:color w:val="000000"/>
          <w:sz w:val="28"/>
          <w:szCs w:val="28"/>
          <w:lang w:val="uk-UA"/>
        </w:rPr>
        <w:t>отримувача</w:t>
      </w:r>
      <w:proofErr w:type="spellEnd"/>
      <w:r>
        <w:rPr>
          <w:color w:val="000000"/>
          <w:sz w:val="28"/>
          <w:szCs w:val="28"/>
          <w:lang w:val="uk-UA"/>
        </w:rPr>
        <w:t xml:space="preserve"> допомоги без позбавлення батьківських прав.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 xml:space="preserve">Державна допомога – це додаткові кошти для догляду за дитиною. Зауважте, що дані виплати не залежать від одержання інших державних </w:t>
      </w:r>
      <w:proofErr w:type="spellStart"/>
      <w:r>
        <w:rPr>
          <w:color w:val="000000"/>
          <w:sz w:val="28"/>
          <w:szCs w:val="28"/>
          <w:lang w:val="uk-UA"/>
        </w:rPr>
        <w:t>допомог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Також батьки можуть розраховувати на інші виплати від держави: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14"/>
          <w:szCs w:val="14"/>
          <w:lang w:val="uk-UA"/>
        </w:rPr>
        <w:t> </w:t>
      </w:r>
      <w:r>
        <w:rPr>
          <w:color w:val="000000"/>
          <w:sz w:val="28"/>
          <w:szCs w:val="28"/>
          <w:lang w:val="uk-UA"/>
        </w:rPr>
        <w:t>тимчасову допомогу для дітей, батьки яких ухиляються від сплати аліментів;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14"/>
          <w:szCs w:val="14"/>
          <w:lang w:val="uk-UA"/>
        </w:rPr>
        <w:t> </w:t>
      </w:r>
      <w:r>
        <w:rPr>
          <w:color w:val="000000"/>
          <w:sz w:val="28"/>
          <w:szCs w:val="28"/>
          <w:lang w:val="uk-UA"/>
        </w:rPr>
        <w:t>державну соціальну допомогу малозабезпеченим сім’ям;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14"/>
          <w:szCs w:val="14"/>
          <w:lang w:val="uk-UA"/>
        </w:rPr>
        <w:t> </w:t>
      </w:r>
      <w:r>
        <w:rPr>
          <w:color w:val="000000"/>
          <w:sz w:val="28"/>
          <w:szCs w:val="28"/>
          <w:lang w:val="uk-UA"/>
        </w:rPr>
        <w:t>державну соціальну допомогу особам, які не мають права на пенсію, та інвалідам і державну соціальну допомогу на догляд;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14"/>
          <w:szCs w:val="14"/>
          <w:lang w:val="uk-UA"/>
        </w:rPr>
        <w:t> </w:t>
      </w:r>
      <w:r>
        <w:rPr>
          <w:color w:val="000000"/>
          <w:sz w:val="28"/>
          <w:szCs w:val="28"/>
          <w:lang w:val="uk-UA"/>
        </w:rPr>
        <w:t>допомогу на дітей одиноким матерям;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14"/>
          <w:szCs w:val="14"/>
          <w:lang w:val="uk-UA"/>
        </w:rPr>
        <w:t> </w:t>
      </w:r>
      <w:r>
        <w:rPr>
          <w:color w:val="000000"/>
          <w:sz w:val="28"/>
          <w:szCs w:val="28"/>
          <w:lang w:val="uk-UA"/>
        </w:rPr>
        <w:t>державну соціальну допомогу інвалідам з дитинства та дітям-інвалідам;</w:t>
      </w:r>
    </w:p>
    <w:p w:rsidR="006618A7" w:rsidRDefault="006618A7" w:rsidP="006618A7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14"/>
          <w:szCs w:val="14"/>
          <w:lang w:val="uk-UA"/>
        </w:rPr>
        <w:t> </w:t>
      </w:r>
      <w:r>
        <w:rPr>
          <w:color w:val="000000"/>
          <w:sz w:val="28"/>
          <w:szCs w:val="28"/>
          <w:lang w:val="uk-UA"/>
        </w:rPr>
        <w:t>державну одноразову допомогу «пакунок малюка».</w:t>
      </w:r>
    </w:p>
    <w:p w:rsidR="006618A7" w:rsidRDefault="006618A7" w:rsidP="006618A7">
      <w:pPr>
        <w:pStyle w:val="xfmc2"/>
        <w:shd w:val="clear" w:color="auto" w:fill="FFFFFF"/>
        <w:spacing w:before="0" w:beforeAutospacing="0" w:after="200" w:afterAutospacing="0" w:line="234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val="uk-UA"/>
        </w:rPr>
        <w:t> 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Станіслав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Куценко, </w:t>
      </w:r>
    </w:p>
    <w:p w:rsidR="006618A7" w:rsidRDefault="006618A7" w:rsidP="006618A7">
      <w:pPr>
        <w:pStyle w:val="xfmc2"/>
        <w:shd w:val="clear" w:color="auto" w:fill="FFFFFF"/>
        <w:spacing w:before="0" w:beforeAutospacing="0" w:after="200" w:afterAutospacing="0" w:line="234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  <w:lang w:val="uk-UA"/>
        </w:rPr>
        <w:t>начальник ГТУЮ у місті Києві</w:t>
      </w:r>
    </w:p>
    <w:p w:rsidR="00155D9A" w:rsidRDefault="006618A7"/>
    <w:sectPr w:rsidR="00155D9A" w:rsidSect="005E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618A7"/>
    <w:rsid w:val="002525CC"/>
    <w:rsid w:val="00411037"/>
    <w:rsid w:val="005E7FF7"/>
    <w:rsid w:val="00661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66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18A7"/>
    <w:rPr>
      <w:color w:val="0000FF"/>
      <w:u w:val="single"/>
    </w:rPr>
  </w:style>
  <w:style w:type="paragraph" w:customStyle="1" w:styleId="xfmc2">
    <w:name w:val="xfmc2"/>
    <w:basedOn w:val="a"/>
    <w:rsid w:val="0066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rada.gov.ua/laws/show/2464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2580</Characters>
  <Application>Microsoft Office Word</Application>
  <DocSecurity>0</DocSecurity>
  <Lines>21</Lines>
  <Paragraphs>6</Paragraphs>
  <ScaleCrop>false</ScaleCrop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2019-01-03T09:34:00Z</dcterms:created>
  <dcterms:modified xsi:type="dcterms:W3CDTF">2019-01-03T09:35:00Z</dcterms:modified>
</cp:coreProperties>
</file>